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ARMP.2024.127 vom 26. September 2024</w:t>
      </w:r>
    </w:p>
    <w:p>
      <w:r>
        <w:t>NE Tribunal cantonal, 2024-09-26, FR</w:t>
      </w:r>
    </w:p>
    <w:p>
      <w:r>
        <w:rPr>
          <w:b/>
        </w:rPr>
        <w:t xml:space="preserve">Quelle: </w:t>
      </w:r>
      <w:r>
        <w:t>https://mcp.opencaselaw.ch/entscheid/ne_gerichte_ARMP.2024.127</w:t>
      </w:r>
    </w:p>
    <w:p>
      <w:r>
        <w:t>FR: NE_GERICHTE ARMP.2024.127 du 26 septembre 2024</w:t>
      </w:r>
    </w:p>
    <w:p>
      <w:r>
        <w:t>IT: NE_GERICHTE ARMP.2024.127 del 26 settembre 2024</w:t>
      </w:r>
    </w:p>
    <w:p>
      <w:pPr>
        <w:pStyle w:val="Heading2"/>
      </w:pPr>
      <w:r>
        <w:t>Erwägungen</w:t>
      </w:r>
    </w:p>
    <w:p>
      <w:r>
        <w:rPr>
          <w:b/>
        </w:rPr>
        <w:t>E. 1</w:t>
      </w:r>
    </w:p>
    <w:p>
      <w:r>
        <w:t>Interjeté dans les formes et délai légaux par une personne qui a un intérêt à la modification de la décision querellée, le recourant est recevable (art. 382, 384, 385, 396 CPP).</w:t>
      </w:r>
    </w:p>
    <w:p>
      <w:r>
        <w:rPr>
          <w:b/>
        </w:rPr>
        <w:t>E. 2</w:t>
      </w:r>
    </w:p>
    <w:p>
      <w:r>
        <w:t>L'Autorité de recours en matière pénale jouit d'un plein pouvoir d'examen, en fait, en droit et en opportunité (art. 393 CPP), sans être liée par les motifs invoqués par les parties, ni par les conclusions de celles-ci (art. 391 CPP). L’Autorité de recours administre, d’office ou à la demande d’une partie, les preuves complémentaires nécessaires au traitement du recours (art. 389 al. 3 CPP). Les informations sollicitées auprès du mandataire du recourant au sujet de la mesure de curatelle dont ce dernier est l’objet peuvent donc être prises en compte.</w:t>
      </w:r>
    </w:p>
    <w:p>
      <w:r>
        <w:rPr>
          <w:b/>
        </w:rPr>
        <w:t>E. 3</w:t>
      </w:r>
    </w:p>
    <w:p>
      <w:r>
        <w:t>a) Le recourant soutient qu’après une période d’inactivité de dix mois, il n’avait pas à s’attendre à une notification, si bien que la fiction de l’article 85 al. 4 let. a CPP ne pouvait s’appliquer. b) Selon l'article 85 al. 4 let. a CPP , un prononcé est réputé notifié lorsque, expédié par lettre signature, il n'a pas été retiré dans les sept jours à compter de la tentative infructueuse de remise du pli, si la personne concernée devait s'attendre à une telle remise. c) D’après la jurisprudence (arrêt du TF du 11.01.2023 [6B_1455/2021] cons. 1.1),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Lorsqu’une procédure perdure et que l’autorité demeure inactive, une notification fictive n’est plus envisageable ( Macaluso/Toffel , in : CR CPP, 2 e éd., n. 33 ad art. 85). En d’autres termes, l’obligation pour la personne de prendre des dispositions pour être atteinte cesse quand la direction de la procédure est demeurée passive pendant une longue période, laissant à penser que l’affaire aurait été classée ( Moreillon/Parein-Reymond , Petit commentaire CPP, 2 e éd., n. 17 ad art. 85). Dans divers arrêts, le Tribunal fédéral a considéré comme acceptable, s’agissant de la durée pendant laquelle la personne concernée devait être attentive à d’éventuelles communications, un délai d’un an depuis le dernier acte d’enquête ; il a ensuite retenu qu’un délai d’un an n’est cependant pas toujours admissible en lui-même, indépendamment des circonstances concrètes de la cause ; il a notamment considéré comme acceptable un délai de neuf mois entre l’audition policière d’un plaignant et la notification d’une décision de classement et que n’était en tout cas pas trop long un délai de quatre mois entre le dépôt d’une plainte et la notification d’une décision de non-entrée en matière ; s’agissant de la notification d’une ordonnance pénale, il a retenu qu’il est douteux – « fraglich » – qu’une durée d’un an depuis le dernier acte d’enquête soit encore admissible ; le Tribunal fédéral s’est aussi référé à un arrêt de la Cour de justice genevoise, qui avait considéré qu’un délai de huit mois entre l’audition du prévenu par la police et la notification d’une ordonnance pénale était trop long, l’article 85 al. 4 CPP ne pouvant alors pas s’appliquer en raison de la longue inactivité du ministère public ; selon le Tribunal fédéral, la question de savoir si le destinataire devait encore s’attendre à recevoir une communication doit s’examiner en fonction des circonstances concrètes ; dans un cas particulier, le Tribunal fédéral a considéré que ne devait plus s’attendre à une communication de l’autorité la personne contrôlée par la police le 18 décembre 2017, à laquelle on reprochait d’éventuelles infractions en matière de circulation routière, à qui aucun délai n’avait été fixé pour des observations et avec qui aucune correspondance n’avait été échangée, quand une ordonnance pénale lui était adressée le 20 novembre 2018 et donc onze mois après le contrôle de police (arrêt du TF du 19.09.2019 [6B_674/2019] cons. 1.4.3, avec des références). Dans une affaire antérieure, le Tribunal fédéral avait considéré que la notification d’une ordonnance de non-entrée en matière trois mois et demi après le dépôt d’une plainte ne représentait pas une longue période (arrêt du TF du 14.12.2011 [1B_675/2011] ). d) On relèvera tout d’abord que le recourant ne dit rien de la notification, dans l’intervalle entre l’accident et la décision querellée, de l’ordonnance de mise sous séquestre d’un véhicule du 22 décembre 2023. Il n’est donc pas exact de dire que la décision querellée serait intervenue après dix mois d’inaction de la part du Ministère public, puisqu’en réalité trois mois se sont écoulés entre l’ordonnance de mise sous séquestre (22.12.2023) et l’ordonnance pénale (19.03.2024). Dans une telle situation, l’article 85 al. 4 let. a CPP trouve bien application. e) Une telle application de la fiction de notification conduit à considérer que l’ordonnance pénale a été notifiée à A.________ le 27 mars 2024. En effet, le pli a été avisé pour retrait le 20 mars 2024, si bien que le délai de garde de sept jours est arrivé à échéance le 27 mars 2024. Sachant que la mesure de curatelle prononcée en faveur de A.________ ne limite pas ses droits civils, sauf dans le domaine contractuel, il faut en outre considérer que la notification – de nature pénale – pouvait intervenir directement auprès du justiciable. f) En partant d’une notification le 27 mars 2024 de l’ordonnance pénale, le délai de 10 jours pour former opposition (art. 354 al. 1 CPP ) est arrivé à échéance le samedi 6 avril 2024, reporté au lundi 8 avril 2024. L’opposition interjetée le 9 avril 2024 est donc bien tardive.</w:t>
      </w:r>
    </w:p>
    <w:p>
      <w:r>
        <w:rPr>
          <w:b/>
        </w:rPr>
        <w:t>E. 4</w:t>
      </w:r>
    </w:p>
    <w:p>
      <w:r>
        <w:t>a) Le Tribunal de police a directement statué sous l’angle de la restitution du délai d’opposition, alors qu’un renvoi au Ministère public pour examen de cette question aurait dû être envisagé (l’art. 94 al. 2 CPP prévoit que la demande de restitution doit être adressée à l’autorité auprès de laquelle l’acte de procédure aurait dû être accompli, ce qui correspond au Ministère public pour l’opposition à l’ordonnance pénale – art. 354 al. 1 CPP ). Par économie de procédure, on examinera la question ici. b ) 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 94 al. 1 CPP ).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(art. 94 al. 2 CPP ). Selon la jurisprudence, la restitution d’un délai suppose une demande formelle de restitution, l'accomplissement de l'acte de procédure omis et la justification d'un préjudice important et irréparable. Ensuite, il faut que la partie ou son mandataire ait été empêchée d'agir sans faute dans le délai fixé. Une restitution de délai n'entre pas en ligne de compte lorsque la partie ou son mandataire a renoncé à agir, que ce soit à la suite d'un choix délibéré, d'une erreur ou du conseil – peut-être erroné – d'un tiers ( ATF 149 IV 196 cons. 1.1). Elle ne peut en outre intervenir que lorsqu'un événement, par exemple une maladie ou un accident, met la partie objectivement ou subjectivement dans l'impossibilité d'agir par elle-même ou de charger une tierce personne d'agir en son nom dans le délai (arrêt du TF du 13.09.2023 [7B_36/2022] cons. 3.3). Par exemple, un déménagement le jour fixé pour une audience ne justifie pas la restitution d’un délai, sous la forme de la fixation d’une nouvelle audience (arrêt du TF du 03.10.2013 [6B_360/2013] cons. 3.4). c) Dans son recours, le recourant ne dit rien de l’argument central avancé par la juge de police pour refuser la restitution du délai d’opposition, soit le fait qu’il a signé une procuration le 1 er avril 2024 (pour la présente procédure qui plus est, comme cela a été vérifié – voir let. B.c ci-dessus) et qu’on pouvait en déduire qu’il était alors en mesure de charger un tiers de gérer ses affaires (en plus de la curatelle) et donc d’agir à sa place. On doit considérer que c’est bien le cas. Certes, le recourant a subi plusieurs hospitalisations, mais ses séjours à l’hôpital n’ont pas été continus et ont au contraire été entrecoupés à plusieurs reprises. On ne peut donc pas considérer que A.________ aurait été totalement incapable d’agir durant des mois. En particulier, à la période déterminante, soit celle de fin mars et début avril 2024, le dossier démontre que le recourant a été en mesure (indépendamment d’une hospitalisation au demeurant non démontrée à cette période précise) de charger son curateur et avocat – par la signature le 1 er avril 2024 d’une procuration en sa faveur – d’agir pour lui, sachant du reste que l’opposition à l’ordonnance pénale émanant du prévenu n’a pas besoin d’être motivée, ce qui en fait un acte très simple. On relèvera que l’existence de délais de procédure n’est pas une vaine formalité, mais vise à assurer la sécurité juridique et qu’il ne puisse être revenu sur des prononcés entrés en force lorsque les conditions à une restitution de délai ne sont pas réunies. Tel est le cas en l’espèce.</w:t>
      </w:r>
    </w:p>
    <w:p>
      <w:r>
        <w:rPr>
          <w:b/>
        </w:rPr>
        <w:t>E. 5</w:t>
      </w:r>
    </w:p>
    <w:p>
      <w:r>
        <w:t>Vu ce qui précède, le recours doit être rejeté, aux frais du recourant ; ces frais seront fixés au minimum du tarif, compte tenu de la situation du recourant. Ce dernier ne saurait être mis au bénéfice de l’assistance judiciaire pour la procédure de recours, la démarche étant dépourvue de chances de succès et du reste pas motivée en lien avec deux éléments décisifs (le fait qu’il n’y ait pas eu inaction du Ministère public pendant 10 mois et l’existence de la procuration du 01.04.2024). Le recourant n’a pas droit à une indemnité pour ses frais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