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ARMP.2024.101 vom 5. August 2024</w:t>
      </w:r>
    </w:p>
    <w:p>
      <w:r>
        <w:t>NE Tribunal cantonal, 2024-08-05, FR</w:t>
      </w:r>
    </w:p>
    <w:p>
      <w:r>
        <w:rPr>
          <w:b/>
        </w:rPr>
        <w:t xml:space="preserve">Quelle: </w:t>
      </w:r>
      <w:r>
        <w:t>https://mcp.opencaselaw.ch/entscheid/ne_gerichte_ARMP.2024.101</w:t>
      </w:r>
    </w:p>
    <w:p>
      <w:r>
        <w:t>FR: NE_GERICHTE ARMP.2024.101 du 5 août 2024</w:t>
      </w:r>
    </w:p>
    <w:p>
      <w:r>
        <w:t>IT: NE_GERICHTE ARMP.2024.101 del 5 agosto 2024</w:t>
      </w:r>
    </w:p>
    <w:p>
      <w:pPr>
        <w:pStyle w:val="Heading2"/>
      </w:pPr>
      <w:r>
        <w:t>Erwägungen</w:t>
      </w:r>
    </w:p>
    <w:p>
      <w:r>
        <w:rPr>
          <w:b/>
        </w:rPr>
        <w:t>E. 1</w:t>
      </w:r>
    </w:p>
    <w:p>
      <w:r>
        <w:t>Les parties peuvent attaquer une ordonnance de non-entrée en matière dans les dix jours devant l’autorité de recours (art. 322 al. 2 et art. 310 al. 2 CPP ). En l’espèce, le recours a été déposé par écrit, dans le délai légal, par une partie directement touchée par la décision entreprise (art. 382 al. 1, 393 al. 1 et 396 al. 1 CPP). Il est motivé (art. 385 al. 1 CPP) et, partant, recevable, sous deux réserves ci-après (cons. 5.1/b et 5.2/b).</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 Elle tient compte des faits et des moyens de preuve nouveaux (art. 390 al. 4 CPP ; arrêts du TF du 17.11.2022 [1B_550/2022] cons. 2.1 ; du 05.02.2015 [1B_368/2014] cons. 3.2 et les réf. cit.).</w:t>
      </w:r>
    </w:p>
    <w:p>
      <w:r>
        <w:rPr>
          <w:b/>
        </w:rPr>
        <w:t>E. 3</w:t>
      </w:r>
    </w:p>
    <w:p>
      <w:r>
        <w:t>Aux termes de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PC CPP, 2 e éd., n. 6 ad art. 310).</w:t>
      </w:r>
    </w:p>
    <w:p>
      <w:r>
        <w:rPr>
          <w:b/>
        </w:rPr>
        <w:t>E. 4</w:t>
      </w:r>
    </w:p>
    <w:p>
      <w:r>
        <w:t>Aux termes de l’article 146 ch. 1 CP ,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4.1</w:t>
      </w:r>
    </w:p>
    <w:p>
      <w:r>
        <w:t>Sur le plan objectif, l'escroquerie suppose en particulier que l'auteur ait usé de tromperie. Une seule affirmation fallacieuse suffit, soit que l’auteur soutienne l'existence d'un fait qui en réalité n’existe pas. L’affirmation doit en principe porter sur un fait, passé ou actuel ( ATF 122 II 428 cons. bb) ; l’affirmation fausse peut également porter sur les intentions actuelles de l’auteur quant à son comportement futur ( ATF 135 IV 78 cons. 5.1). La tromperie peut consister non pas à affirmer un fait faux, mais à dissimuler un fait vrai. Elle peut enfin consister à conforter la dupe dans son erreur. La tromperie doit être astucieuse. L'astuce au sens de l'article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 3a ; 122 IV 246 cons. 3a et les arrêts cités). Il y a notamment manœuvre frauduleuse lorsque l'auteur fait usage de titres falsifiés ou obtenus sans droit ou de documents mensongers ( ATF 122 IV 197 cons. 3d ; 116 IV 23 cons. 2c). La dupe doit être dans l’erreur, en ce sens qu’elle doit se faire une fausse représentation de la réalité.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 ATF 122 IV 246 cons. 3a). L'astuce n'est exclue que lorsque la dupe est coresponsable du dommage en ce qu'elle n'a pas observé les mesures de prudence élémentaires qui s'imposaient ( ATF 126 IV 165 cons. 2a ; 119 IV 28 cons. 3f). Le principe de coresponsabilité doit amener les victimes potentielles à faire preuve d'un minimum de prudence ; il s'agit là d'une mesure de prévention du crime, la concrétisation d'un programme de politique criminelle (cf. Cassani , Der Begriff der arglistigen Täuschung als kriminalpolitische Herausforderung, in RPS 117/1999 p. 174).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 directement » un préjudice au patrimoine.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 ATF 128 IV 256 cons. 2e/aa ; 115 IV 32 cons. 3a). Il faut donc un lien entre la tromperie et le dommage ( ATF 120 IV 135 cons. bb) ou, autrement dit, que la tromperie astucieuse motive l’acte qui lèse le patrimoine ( ATF 128 IV 256 cons. 2e/aa). 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 ATF 129 IV 238 cons. 3.2.2 ; 127 IV 122 cons. 4c/aa ; 99 IV 57 cons. 1a).</w:t>
      </w:r>
    </w:p>
    <w:p>
      <w:r>
        <w:rPr>
          <w:b/>
        </w:rPr>
        <w:t>E. 4.2</w:t>
      </w:r>
    </w:p>
    <w:p>
      <w:r>
        <w:t>En l’espèce, la recourante fait valoir que C.________ a usé de tromperie astucieuse, en ce sens qu’il a remarqué et profité de son état de chagrin et de bouleversement important pour lui fournir une prestation autre et de moindre qualité que celle qui était prévue, « en prenant soin de la maintenir dans son erreur et en la dissuadant de soulever des questions, en particulier en l'accompagnant pendant plus d'une heure au café ». Elle ajoute qu’elle n’avait eu aucun moyen de vérifier que la crémation individuelle de son chien et la remise intégrale des cendres du même avaient été respectées, puisqu'elle avait été tenue à l'écart de l'incinération par C.________, ce qui constituait aussi une astuce, caractéristique de l'infraction d'escroquerie. À l’évidence, C.________ n’a pas usé de tromperie – et a fortiori pas de tromperie astucieuse –, au sens de l’article 146 CP , pour éviter que A.________ n’assiste à l’entier du processus de crémation de son chien, jusqu’à la remise de l’urne contentant les cendres, en passant par l’ouverture du four et le broyage éventuel de la dépouille. En effet, dans sa plainte du 19 juin 2024, A.________ a décrit comme suit le déroulement des faits : « Quand je suis arrivée, accompagnée d'une amie, j'ai été accueillie par C.________. Il a placé mon chien dans le four, sans le peser. Il l'a mis en marche, puis nous a proposer (sic) de nous offrir un café. Il nous a alors amené (sic) dans un restaurant à proximité ». Dès lors que C.________ a proposé à A.________ d’aller boire un café dans un établissement sis à proximité des locaux de E.________ Sàrl après avoir mis en marche le four et par là démarré, en présence de la recourante, le processus d’incinération du chien D.________, il était évident qu’en acceptant cette proposition, A.________ acceptait de ne pas assister à l’entier du processus d’incinération, contrairement à ce qu’elle avait fait une quinzaine d’années plus tôt à l’occasion de l’incinération d’un autre chien à Y.________. Si elle avait voulu assister à l’entier du processus (et que telle était sa compréhension de la prestation convenue d’« incinération assistée »), on ne voit pas ce qui aurait empêché la recourante de décliner la proposition de C.________. En particulier, le fait que A.________ éprouvait du chagrin et qu’elle était bouleversée suite à la mort de son chien n’est pas de nature à expliquer qu’elle ait accepté de ne pas assister à l’entier du processus, si telles avaient été sa volonté et sa compréhension de la prestation convenue d’« incinération assistée ». La recourante n’a par ailleurs jamais prétendu que l’amie qui l’accompagnait, soit I.________, qui elle ne se trouvait pas dans le même état de chagrin et de profond bouleversement, serait intervenue pour expliquer à C.________ que la volonté de son amie était d’assister à l’entier du processus d’incinération du chien. Dans les circonstances décrites par la plaignante elle-même, C.________ n’avait aucune raison de penser que A.________ n’aurait pas été pleinement libre de refuser sa proposition d’aller boire un café après la mise en marche du four – et donc la mise en route du processus de crémation –, si sa volonté avait été d’assister à l’entier du processus de crémation de son chien. C.________ n’a donc pas proféré d’affirmation fallacieuse, ni dissimulé un fait vrai, ni conforté A.________ dans une erreur. Vu la durée du processus de crémation (deux heures et demie, selon la plaignante), il est parfaitement compréhensible que C.________ ait proposé à A.________ et à son accompagnatrice de patienter dans un café voisin. Comme déjà dit, rien n’obligeait A.________ à accepter cette proposition, qui ne constituait en rien une tromperie. Tout au plus pourrait-on envisager que A.________ et C.________ aient eu une idée différente de ce qu’était l’« incinération assistée » convenue, mais cela relève de l’interprétation des contrats (art. 18 CO) et non du droit pénal – étant précisé qu’en acceptant la proposition de C.________ d’aller boire un café après la mise en marche du four, A.________ semble avoir manifesté de manière claire, par acte concluant, son accord de ne pas assister à l’ensemble du processus de crémation.</w:t>
      </w:r>
    </w:p>
    <w:p>
      <w:r>
        <w:rPr>
          <w:b/>
        </w:rPr>
        <w:t>E. 5</w:t>
      </w:r>
    </w:p>
    <w:p>
      <w:r>
        <w:t>En rapport avec l’infraction de dommages à la propriété ou de soustraction d’une chose mobilière, la recourante fait valoir qu’il doit être tenu pour établi que les cendres qui lui ont été restituées n’étaient pas celles de D.________ ou pas la totalité des cendres du même, car si tel avait été le cas, des fragments d’os s’y seraient trouvés.</w:t>
      </w:r>
    </w:p>
    <w:p>
      <w:r>
        <w:rPr>
          <w:b/>
        </w:rPr>
        <w:t>E. 5.1</w:t>
      </w:r>
    </w:p>
    <w:p>
      <w:r>
        <w:t>a) Au sens de l’article 144 al. 1 CP , se rend coupable de dommages à la propriété quiconque, sans droit,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(arrêt du TF du 01.03.2023 [6B_872/2022] cons. 3.1). b) Bien que représentée par un mandataire professionnel, la recourante n’expose pas en quoi le comportement imputé à C.________ pourrait, sous l’angle du principe in dubio pro duriore , réaliser les conditions objectives et subjective de l’article 144 al. 1 CP . Sous cet angle, le recours ne respecte pas les exigences minimales de motivation posées par l’article 385 al. 1 CPP pour contester une non-entrée en matière. Le grief n’a donc pas à être examiné plus avant. On précisera toutefois que si, selon l’article 641 a CC, les animaux ne sont pas des choses (al. 1) mais que, sauf disposition contraire, les dispositions s’appliquant aux choses (dont l’art. 144 CP [ Dupuis et al. [édit] , PC CP, n. 4 ad art. 144]) sont également valables pour les animaux (al. 2), il ne va pas de soi que ces dispositions s’appliqueraient aussi aux animaux morts, d’une part, et qu’un animal mort continuerait d’appartenir à la personne qui en était propriétaire juste avant sa mort, d’autre part. Ces questions peuvent souffrir de demeurer ouvertes en l’espèce, à mesure que le comportement typique consiste à endommager, détruire ou mettre hors d’usage une chose, sans droit. Or, en l’espèce, ce n’est pas sans droit que C.________ a procédé à la crémation de la dépouille de D.________, mais au contraire à la demande de A.________, qui était la propriétaire dudit chien. Quant aux cendres de D.________, outre qu’il est douteux qu’elles puissent être qualifiées de « chose appartenant à autrui » au sens de l’article 144 al. 1 CPP , on verra plus loin (cons. 5.2/c) que rien ne laisse à penser que C.________ aurait pu en disposer sans droit, c’est-à-dire autrement qu’en les restituant intégralement à A.________, au terme du processus de crémation.</w:t>
      </w:r>
    </w:p>
    <w:p>
      <w:r>
        <w:rPr>
          <w:b/>
        </w:rPr>
        <w:t>E. 5.2</w:t>
      </w:r>
    </w:p>
    <w:p>
      <w:r>
        <w:t>a) Commet une soustraction d’une chose mobilière au sens de l’article 141 CP quiconque, sans dessein d’appropriation, soustrait une chose mobilière à l’ayant droit et lui cause par là un préjudice considérable. Les éléments constitutifs de cette infraction sont une chose mobilière, un acte de soustraction, un préjudice considérable et l’intention, le dol éventuel étant suffisant. b) En l’espèce, bien que représentée par un mandataire professionnel, la recourante n’expose pas en quoi les restes de la dépouille d’un chien après incinération constitueraient une « chose mobilière » au sens de l’article 141 CP , ni en quoi la soustraction de tels restes serait propre à causer un « préjudice considérable » à l’ancien propriétaire du chien en question, selon la même disposition. Compte tenu de ces lacunes, la recevabilité du grief est douteuse. c) Quoi qu’il en soit, la non-entrée en matière se justifie en rapport avec cette infraction par le fait que la soustraction par C.________ des restes du chien D.________ après son incinération n’est pas possible à démontrer, ni vraisemblable. Dans sa lettre du 16 mai 2024 à la recourante, C.________ a décrit comme suit le processus de crémation : en la présence de A.________, il avait déposé la dépouille du chien D.________ à l’intérieur du four (ce qui est confirmé par la version des faits donnée par la recourante dans sa plainte), « plus du côté gauche car la flamme de notre brûleur se trouve sur la gauche » ; il disposait les animaux de cette manière afin qu’ils soient « directement au contact avec la flamme », afin de réduire le temps de crémation ; une fois en contact avec la flamme, les muscles se contractent, si bien que l’animal ne garde pas sa position initiale dans le four ; le cas échéant, C.________ ouvrait le four et remettait la dépouille devant la flamme ; une fois la crémation terminée et le brûleur arrêté, il regroupait les cendres devant le brûleur qui entrait en ventilation, car cela accélérait le refroidissement des restes ; ces éléments expliquaient qu’une fois la crémation terminée, A.________ avait pu constater « que les cendres et ossements étaient tous du côté gauche » du four, « devant la flamme du brûleur ». C.________ précisait que les ossements étaient fragilisés par la chaleur et qu’ils pouvaient se briser très facilement en plusieurs morceaux durant le processus, en fonction aussi de la constitution et de l’âge de l’animal. Il garantissait que la totalité des cendres et ossements issus de la crémation de D.________ se trouvaient à l’intérieur de l’urne que A.________ avait choisie et récupérée directement après la crémation. Dans son mémoire de recours, la recourante fait valoir que le Dr F.________ indique que la structure solide des os subsiste après la crémation, en particulier le crâne et le fémur ; que c'est la raison pour laquelle ceux-ci doivent être moulus avant de pouvoir être placés dans une urne ; qu’il n'est pas contesté qu'aucun os de ce type n'était présent lorsque la recourante est retournée devant le four ; que D.________ était un berger croisé, soit « un chien d'une certaine taille », si bien que son crâne ou son fémur ne pouvaient pas passer inaperçus ; que, contrairement à ce qu’avait retenu le procureur, il existait donc des indices sérieux que les cendres qui ont été remises à la recourante n’étaient pas celles de D.________ ou, à tout le moins, pas la totalité. En premier lieu, l’avocat de la recourante a formulé comme suit sa demande au Dr F.________ : « j'ai besoin d'un renseignement sur l'incinération d'un chien dans le cadre de l'un de mes dossiers. Après l'incinération, à l'ouverture du four, est-ce qu'il reste des fragments d'os ? Si oui, quelle taille font-ils et sont-ils nombreux ? ». Il tombe pourtant sous le sens que les restes d’un chien après sa crémation varient en fonction notamment de l’âge du chien au jour de sa mort, de sa race, du poids de sa dépouille, de la durée et du mode de conservation de la dépouille jusqu’à l’incinération et, surtout, du processus de crémation utilisé (type de four, réglages du four, durée de la crémation). En s’abstenant d’indiquer ce qu’il en était de ces éléments dans le cas qui l’occupait concrètement, le mandataire de A.________ n’a évidemment pas mis le Dr F.________ en mesure de répondre précisément à ses questions, et encore moins de se prononcer sur la question de savoir ce qui aurait selon lui dû rester de la dépouille de D.________ au terme du processus de crémation qui a, concrètement, eu lieu dans les locaux de E.________ Sàrl le 3 avril 2024. Le Dr F.________ n’a d’ailleurs pas donné à cette question la réponse qui lui est prêtée dans le mémoire de recours. Au contraire, il a répondu ceci : « [l]ors de l'incinération, les graisses et les protéines sont brûlées. Il ne reste que la structure solide des os, composée de calcium. Les parties les plus volumineuses sont le crâne et le fémur. La proportion de calcium dans le corps est de 1 à 2 % et la quantité de cendres dépend de la taille de l'animal, soit 200 à 400 g pour un animal de 20 kg. Après l'incinération, les os sont moulus et mis dans l'urne. Cela se fait de la même manière pour l'incinération des animaux que pour l'incinération des humains. Je me tiens à votre disposition pour toute question supplémentaire ». C’est dire que la question posée au Dr F.________ et la réponse donnée par ce dernier ne fournissent aucun élément utile à l’appui de la thèse de la recourante. Singulièrement, on ne peut pas en tirer que ce qui, selon la recourante, restait de D.________ après sa crémation n’aurait pas pu correspondre à ce qui aurait dû en rester, vu les conditions du cas d’espèce. À toutes fins utiles, on relève que la recourante exagère encore lorsqu’elle décrit D.________ comme « un chien d'une certaine taille », alors qu’il s’agissait à l’évidence d’un petit ou même très petit chien, qui faisait manifestement partie des chiens dont le poids était inférieur à 25 kilos. C’est à l’évidence parce que l’on voyait au premier coup d’œil que D.________ n’atteignait pas ce poids, et donc qu’il entrait dans la catégorie la moins chère du tarif de E.________ Sàrl (soit la catégorie « &lt; 25 kg »), que C.________ a renoncé à le peser avant son incinération. En second lieu, on ne voit pas comment il serait possible de déterminer avec précision, dans les faits, ce qui restait précisément de D.________ après sa crémation. À ce sujet, la recourante s’est déjà contredite en indiquant, d’un côté, dans son mémoire de recours que « les os de son chien n’étaient pas présents », « qu’aucun os n’était présent » et que les os avaient été entièrement consumés et, d’un autre côté, que C.________ lui avait, à sa demande, présenté un fragment d’os après la crémation. Quant à C.________, il a écrit dans sa lettre du 16 mai 2024 à A.________ qu’il subsistait, en sus des cendres, des « ossements » au terme du processus de crémation de D.________. Même si on devait mettre en œuvre une expertise aux fins de déterminer ce qui aurait dû rester de D.________ après crémation dans les circonstances du cas d’espèce (mesure dont la recourante ne sollicite pas la mise en œuvre et qui serait d’ailleurs totalement disproportionnée eu égard aux faits de la cause), on ne pourrait pas comparer le résultat de l’expertise aux restes après crémation dans le cas d’espèce, notamment parce que ces restes ont été broyés avant d’être remis à A.________. Enfin, il faut bien admettre que c’est de manière tout à fait pertinente que C.________ a fait observer à A.________, dans sa lettre du 16 mai 2024, qu’il n’avait aucune raison de ne pas remettre à la recourante l’intégralité des cendres de D.________. En plus de ne reposer sur aucun indice concret, la thèse de la recourante selon laquelle il serait « fort possible que C.________ ait fait un usage de la dépouille de D.________ autre que celle qui était contractuellement prévue, à savoir son incinération individuelle et sa remise intégrale à la recourante » apparaît ainsi comme fort peu vraisemblable, vu l’absence manifeste d’intérêt de C.________ à agir intentionnellement de la sorte. On ne voit enfin pas comment C.________ aurait pu remettre – consciemment ou pas – à A.________ les cendres d’un autre animal que D.________, à mesure que la recourante ne prétend pas et qu’il ne ressort pas du dossier que la crémation d’un autre animal aurait eu lieu au même moment que celle de D.________.</w:t>
      </w:r>
    </w:p>
    <w:p>
      <w:r>
        <w:rPr>
          <w:b/>
        </w:rPr>
        <w:t>E. 6</w:t>
      </w:r>
    </w:p>
    <w:p>
      <w:r>
        <w:t>Dans ces conditions, il est inenvisageable qu’un juge de siège parvienne à la conclusion que C.________ ait pu se rendre coupable d’une infraction pénale en rapport avec la crémation du chien D.________. La non-entrée en matière est justifiée et le recours doit être rejeté, dans la mesure de sa recevabilité. Les frais de la procédure de recours, arrêtés à 800 francs (art. 42 de la loi du 6 novembre 2019 fixant le tarif des frais, des émoluments de chancellerie et des dépens en matière civile, pénale et administrative [ LTFrais , RSN 164.1]), doivent être mis à la charge de la recourante (art. 428 al. 1 CPP), qui n’a pas droit à des dépens. C.________ n’ayant pas été invité à se déterminer (art. 390 al. 2 CPP),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