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ARMP.2023.75 vom 29. Juni 2023</w:t>
      </w:r>
    </w:p>
    <w:p>
      <w:r>
        <w:t>NE Tribunal cantonal, 2023-06-29, FR</w:t>
      </w:r>
    </w:p>
    <w:p>
      <w:r>
        <w:rPr>
          <w:b/>
        </w:rPr>
        <w:t xml:space="preserve">Quelle: </w:t>
      </w:r>
      <w:r>
        <w:t>https://mcp.opencaselaw.ch/entscheid/ne_gerichte_ARMP.2023.75</w:t>
      </w:r>
    </w:p>
    <w:p>
      <w:r>
        <w:t>FR: NE_GERICHTE ARMP.2023.75 du 29 juin 2023</w:t>
      </w:r>
    </w:p>
    <w:p>
      <w:r>
        <w:t>IT: NE_GERICHTE ARMP.2023.75 del 29 giugno 2023</w:t>
      </w:r>
    </w:p>
    <w:p>
      <w:pPr>
        <w:pStyle w:val="Heading2"/>
      </w:pPr>
      <w:r>
        <w:t>Erwägungen</w:t>
      </w:r>
    </w:p>
    <w:p>
      <w:r>
        <w:rPr>
          <w:b/>
        </w:rPr>
        <w:t>E. 1</w:t>
      </w:r>
    </w:p>
    <w:p>
      <w:r>
        <w:t>Déposé dans les formes et le délai prévus par la loi, par une personne disposant d’un intérêt à obtenir la modification de la décision attaquée, et dûment motivé, le recours est recevable (art. 382, 393 al. 1 let. c et 396 al. 1 CPP).</w:t>
      </w:r>
    </w:p>
    <w:p>
      <w:r>
        <w:rPr>
          <w:b/>
        </w:rPr>
        <w:t>E. 2</w:t>
      </w:r>
    </w:p>
    <w:p>
      <w:r>
        <w:t>L’Autorité de recours en matière pénale revoit la cause en fait, en droit et en opportunité, donc avec un plein pouvoir d’examen (art. 391 CPP ; cf. Calame , in : CR CPP, 2 e éd., n. 1-2 ad art. 391).</w:t>
      </w:r>
    </w:p>
    <w:p>
      <w:r>
        <w:rPr>
          <w:b/>
        </w:rPr>
        <w:t>E. 3</w:t>
      </w:r>
    </w:p>
    <w:p>
      <w:r>
        <w:t>a) D’après l’article 221 al. 1 in initio CPP , la détention provisoire et la détention pour des motifs de sûreté ne peuvent être ordonnées que lorsque le prévenu est fortement soupçonné d’avoir commis un crime ou un délit. b) En procédure de recours, le recourant ne conteste pas l’existence de soupçons sérieux de culpabilité, pour des infractions qui peuvent en principe justifier une détention. Il est effectivement manifeste qu’au vu du dossier, le prévenu peut être fortement soupçonné d'avoir commis les infractions – soit des crimes et délits – qui lui sont reprochées, au sens des faits retenus à ce stade. Le recourant ne discute d’ailleurs pas le constat du TMC selon lequel il semble avoir joué un rôle actif dans le cambriolage ou la tentative de cambriolage, notamment en participant à l’achat, quelques jours plus tôt, de l’outillage utilisé pour percer le coffre-fort et en pénétrant lui-même dans les locaux (alors que, dans des observations du 25 octobre 2022, encore confirmées le 2 juin 2023, il disait s’être « contenté de transporter un bidon » ).</w:t>
      </w:r>
    </w:p>
    <w:p>
      <w:r>
        <w:rPr>
          <w:b/>
        </w:rPr>
        <w:t>E. 4</w:t>
      </w:r>
    </w:p>
    <w:p>
      <w:r>
        <w:t>a) Dans son mémoire de recours, le recourant indique qu’il conteste le risque de fuite, mais que cela n’est pas l’objet du recours. Dans des observations du 25 octobre 2022, auxquelles il se référait dans sa demande de libération du 2 juin 2023, il expliquait que comme il avait accepté une extradition simplifiée vers la Belgique, il serait maintenu en détention en vue d’extradition, jusqu’à sa remise aux autorités belges, s’il était mis fin à la détention dans le cadre de la procédure neuchâteloise ; on voyait mal comment un risque de fuite pourrait exister ; un maintien en détention pour garantir l’exécution de la peine n’aurait aucun intérêt, car la peine serait exécutée en Belgique ou le prévenu serait extradé vers la Suisse. b) Selon l’article 221 al. 1 let. a CPP , la détention provisoire peut être fondée sur un risque de fuite, soit lorsqu'il y a sérieusement lieu de craindre que le prévenu se soustraie à la procédure pénale ou à la sanction prévisible en prenant la fuite. D’après la jurisprudence (arrêts du TF du 05.06.2023 [1B_233/2023] cons. 3.1, du 20.04.2021 [1B_158/2021] cons. 3.1 et du 15.07.2020 [1B_321/2020] 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 Par ailleurs, le fait que le risque de fuite puisse se réaliser dans un pays qui pourrait donner suite à une requête d'extradition de la Suisse n'est pas déterminant pour nier un tel risque. c) Le risque de fuite est évident. Comme l’a relevé le TMC, le recourant, qui dispose de la nationalité belge n’a aucune attache avec la Suisse et entend retourner en Belgique (que ce soit après libération ou par l’effet de l’extradition). Dans l’hypothèse où il serait effectivement extradé vers la Belgique en cas de libération, rien ne permettrait de garantir à l’avance que le recourant reviendrait en Suisse – de gré ou de force – pour y purger la peine à laquelle il pourrait être condamné, ceci après la fin de la procédure belge (sur le résultat de laquelle on ne peut évidemment formuler aucun pronostic). S’il était mis en liberté en Belgique à un moment ou à un autre, il serait forcément tenté de ne pas déférer aux convocations de l’autorité neuchâteloise. Enfin et peut-être surtout, il existe un intérêt public important à ce que le recourant puisse être jugé en sa présence, les 7 et 8 septembre 2023, par le Tribunal criminel, ce qui ne serait pas garanti s’il était aujourd’hui mis fin à sa détention.</w:t>
      </w:r>
    </w:p>
    <w:p>
      <w:r>
        <w:rPr>
          <w:b/>
        </w:rPr>
        <w:t>E. 5</w:t>
      </w:r>
    </w:p>
    <w:p>
      <w:r>
        <w:t>CPP impose aux autorités pénales d'engager les procédures pénales sans délai et de les mener à terme sans retard injustifié (al. 1), la procédure devant être conduite en priorité lorsqu'un prévenu est placé en détention (al. 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(arrêt du TF 23.05.2023 [1B_234/2023] cons. 5.1). Dans une procédure d’examen de la détention, le grief de violation du principe de célérité ne doit être pris en compte que si le retard dans la procédure est de nature à mettre en cause la légalité de la détention provisoire et à conduire à une libération. Ce n’est le cas que quand le retard dans la procédure est particulièrement grave et si, dans le même temps, l’autorité pénale laisse entrevoir, par exemple par une fixation « paresseuse » ( « schleppend » ) des actes encore à effectuer, qu’elle n’a pas la volonté ou n’est plus en mesure de désormais faire avancer la procédure et la mener à son terme avec la célérité qui s’impose dans les cas de détention ( ATF 140 IV 74 cons. 3.2). En cas de violation moins grave du principe de célérité, on peut, selon les circonstances, inviter l’autorité compétente à poursuivre la procédure de manière particulièrement rapide et subordonner le maintien de la détention au respect de certains délais. En outre, une violation du principe de célérité doit être constatée dans le dispositif et il doit en être tenu compte dans la répartition des frais et indemnités. Pour le surplus, il faut réserver la question au juge du fond, lequel procédera à une évaluation d’ensemble et dira dans quelle mesure – par exemple, par une réduction de peine – une violation éventuelle du principe de célérité doit être compensée (arrêt du TF du 30.12.2021 [1B_672/2021] cons. 3.2). En d’autres termes, la violation du principe de la célérité n'entraîne pas nécessairement la libération immédiate du prévenu quand la détention demeure justifiée, par exemple, par un risque de fuite et quand sa durée apparaît encore proportionnée, au vu de la gravité des infractions qui sont reprochées au prévenu et de la peine privative de liberté à laquelle il s'expose ; l'appréciation d'ensemble du caractère raisonnable de la procédure devra être faite par le juge du fond, qui pourra tenir compte de la violation du principe de la célérité dans la fixation de la peine. Comme pour la violation de certains délais procéduraux, la violation du principe de célérité peut être réparée – au moins partiellement – par la constatation de cette violation, une admission partielle du recours sur ce point et la mise à la charge de l'État des frais de justice (arrêt du TF du 13.09.2011 [1B_419/2011] cons. 2.3). Le Tribunal fédéral a notamment considéré que, dans une affaire complexe, concernant plusieurs prévenus, un délai de plus de six mois entre l’acte d’accusation et le jugement violait le principe de célérité et que cela justifiait un constat de violation, mais pas la libération du prévenu (arrêt du 30.12.2021 précité, cons. 3.5 à 3.7, qui précisait que la solution serait différente si l’audience de jugement n’était finalement fixée que plus d’un an après l’acte d’accusation). Il a aussi jugé qu’un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ou un délai de quatre mois et demi dans une affaire relativement complexe (arrêt du TF du 13.09.2011 [1B_419/2011] cons. 2.1, cité par le recourant). c)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(arrêts du TF du 20.04.2021 [1B_158/2021] cons. 2.1 et du 29.04.2020 [1B_185/2020] cons. 4.1). d) En l’espèce, la durée de plus de cinq mois entre la réception de l’acte d’accusation par le Tribunal criminel (16 mars 2023, selon le timbre de réception figurant sur l’acte) et l’audience de jugement (7 et 8 septembre 2023) paraît excessive, au premier abord déjà, en fonction de la jurisprudence rappelée ci-dessus. Il faut certes prendre en compte le fait que, dans le canton de Neuchâtel, les tribunaux fixent les audiences pénales après consultation des mandataires des parties et du procureur concerné, soit en tenant compte de leurs disponibilités, ce qui n’est pas le cas partout et répond aux vœux, renouvelés à diverses reprises, des associations d’avocats (le recourant dit d’ailleurs saluer cette pratique, s’agissant de la consultation des mandataires ; on peut noter que, dans une affaire criminelle assez récente, où intervenaient plusieurs avocats et dans laquelle il s’agissait de fixer une semaine d’audiences, un prévenu a demandé la récusation du juge parce que celui-ci n’avait, à son avis, pas suffisamment tenu compte des disponibilités de son avocat : cf. arrêt de l’ARMP du 20.12.2021 [ ARMP.2021.134 ] cons. 3.9). Contrairement à ce que soutient le recourant, on ne voit en outre pas ce qui justifierait de ne pas tenir compte, aussi, des disponibilités du procureur qui intervient dans la cause : ce procureur a conduit l’instruction et devrait donc bien connaître le dossier, de sorte que des motifs d’efficacité commandent que, sauf exception, le même procureur puisse comparaître aux débats. Cela étant, il faut constater que, selon ce qui figure au dossier, le greffe du Tribunal criminel, pour fixer l’audience, n’a pas contacté l’un des mandataires avant le 10 mai 2023, soit près de deux mois après réception de l’acte d’accusation et n’en a contacté un autre que très peu de temps avant ce 10 mai 2023, ne lui proposant que les dates des 6-7 ou 7-8 septembre 2023. Dans sa prise de position du 5 juin 2023, le président du Tribunal criminel indiquait que la fixation de l’audience avait nécessité la coordination des agendas de quatre avocats et du procureur. Il ne soutenait pas que d’autres dates que celles mentionnées par l’un des mandataires – 6-7 ou 7-8 septembre 2023 – auraient été proposées, ni que des contacts pour la fixation de l’audience auraient eu lieu avant le 10 mai 2023, éventuellement le jour ou les jours précédents. On sait que fixer une audience avec plusieurs intervenants est compliqué et qu’en prévoir durant les dernières semaines de juillet et les premières d’août relève de la quadrature du cercle. Cependant, il devait être possible, si le Tribunal criminel avait fait diligence – dès réception de l’acte d’accusation ou dans les jours suivants – de trouver une date à fin juin ou début juillet 2023 au plus tard, afin de tenir les débats dans un délai acceptable. Retarder le jugement jusqu’au début du mois de septembre ne pouvait pas se justifier par la complexité de la cause. Les juges du Tribunal criminel doivent certes procéder à un examen minutieux du dossier, comme dans toutes les causes qui leur sont soumises, mais les faits ne sont pas particulièrement compliqués, s’agissant de vols/tentatives de vol commis en un seul endroit, quelques jours de suite, par une équipe d’auteurs dont les membres sont apparemment connus et pour lesquels l’accusation se fonde surtout sur un certain nombre de preuves objectives (images de surveillance, quittances d’achat de matériel, etc.) ; le procureur n’a d’ailleurs pas considéré que l’affaire était spécialement compliquée, puisqu’il n’a pas procédé à des auditions finales (art. 317 CPP), ni même à d’autres auditions que de brefs interrogatoires des trois prévenus, après leur interpellation, afin de leur signifier leur arrestation ; le dossier comprend certes quatre volumes, mais est composé en bonne partie, outre des rapports de police et quelques procès-verbaux d’auditions de police, de pièces de forme et d’autres relatives au principe et aux modalités de la détention, ainsi que d’autres documents qui ne nécessitent aussi qu’un examen superficiel (par exemple des miniatures de photographies). On ne se trouve donc pas dans un cas correspondant à ceux pour lesquels le Tribunal fédéral considère qu’un délai de six mois est encore tout juste acceptable, en raison de la complexité de la cause et de la multiplicité des participants, ni même, probablement, dans un cas où un délai dépassant trois à quatre mois serait admissible. Tout bien considéré, il faut admettre que, dans les circonstances du cas d’espèce, en particulier du long délai entre la réception de l’acte d’accusation et les démarches du Tribunal criminel pour fixer l’audience (avec aussi des propositions de dates qui, selon ce que l’on trouve au dossier, étaient d’emblée assez éloignées), le principe de célérité a été violé, ce qu’il faut constater. Il appartiendra au Tribunal criminel de procéder à un examen d’ensemble, comme le prescrit la jurisprudence, et il n’y a donc pas lieu d’en dire plus ici. e) La violation du principe de célérité ne justifie pas une libération immédiate du recourant. En effet, la cause pourra être jugée dans un peu plus de deux mois (rien ne permet d’envisager que l’audience fixée devrait être renvoyée), ce qui démontre que le Tribunal criminel a la volonté et la possibilité de conduire la procédure à sa fin dans un délai qui, depuis ce jour, sera raisonnable (en fonction notamment des difficultés particulières à fixer des audiences durant la période des habituelles vacances d’été des mandataires). Il n’est donc pas question d’une violation particulièrement grave, au sens de la jurisprudence. Par ailleurs, il existe un risque de fuite, comme on l’a vu plus haut. La durée de la procédure reste proportionnée à la peine prévisible : dans son mémoire de recours, le recourant évoque lui-même une peine prévisible qu’il estime, « pour prendre une fourchette large, entre 12 et 36 mois » . C’est dire qu’il considère lui-même comme tout à fait possible une peine dépassant largement les 14 mois qu’aura duré sa détention, jusqu’à la date du jugement telle qu’elle a été fixée. Le Ministère public a indiqué qu’il entendait requérir une peine dépassant 24 mois. En tout cas, une peine dépassant nettement 14 mois est dans l’ordre du vraisemblable. En fonction des circonstances et notamment des antécédents du recourant, l’octroi d’un sursis, même partiel, n’a rien d’évident, de sorte qu’il n’y a pas à prendre en compte cette éventualité, au sens de la jurisprudence rappelée plus haut.</w:t>
      </w:r>
    </w:p>
    <w:p>
      <w:r>
        <w:rPr>
          <w:b/>
        </w:rPr>
        <w:t>E. 6</w:t>
      </w:r>
    </w:p>
    <w:p>
      <w:r>
        <w:t>Il résulte de ce qui précède que le recours doit être partiellement admis, sur la question de la violation du principe de célérité, et rejeté pour le surplus. Les frais de la procédure de recours seront mis pour moitié à la charge du recourant. Comme le recourant bénéficie de l’assistance judiciaire, il n’a pas droit à une indemnité pour la procédure de recours, à la charge de l’État, et au sens des articles 428 et 429 CPP. Par contre, son mandataire doit être indemnisé au titre et au tarif de l’assistance judiciaire. Au vu du dossier, à défaut de mémoire d’activité, l’indemnité sera fixée à 850 francs, frais et TVA compris, en comptant qu’il a fallu un peu plus de quatre heures au mandataire pour le mémoire de recours et les observations sur celles du Ministère public. Cette indemnité sera remboursable à raison de la moitié,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