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ARMP.2023.163 vom 24. Januar 2024</w:t>
      </w:r>
    </w:p>
    <w:p>
      <w:r>
        <w:t>NE Tribunal cantonal, 2024-01-24, FR</w:t>
      </w:r>
    </w:p>
    <w:p>
      <w:r>
        <w:rPr>
          <w:b/>
        </w:rPr>
        <w:t xml:space="preserve">Quelle: </w:t>
      </w:r>
      <w:r>
        <w:t>https://mcp.opencaselaw.ch/entscheid/ne_gerichte_ARMP.2023.163</w:t>
      </w:r>
    </w:p>
    <w:p>
      <w:r>
        <w:t>FR: NE_GERICHTE ARMP.2023.163 du 24 janvier 2024</w:t>
      </w:r>
    </w:p>
    <w:p>
      <w:r>
        <w:t>IT: NE_GERICHTE ARMP.2023.163 del 24 gennaio 2024</w:t>
      </w:r>
    </w:p>
    <w:p>
      <w:pPr>
        <w:pStyle w:val="Heading2"/>
      </w:pPr>
      <w:r>
        <w:t>Erwägungen</w:t>
      </w:r>
    </w:p>
    <w:p>
      <w:r>
        <w:rPr>
          <w:b/>
        </w:rPr>
        <w:t>E. 1</w:t>
      </w:r>
    </w:p>
    <w:p>
      <w:r>
        <w:t>Interjeté dans les formes et délai légaux, par une personne directement touchée par la décision entreprise, le recours est recevable (art. 396 al. 1 CPP).</w:t>
      </w:r>
    </w:p>
    <w:p>
      <w:r>
        <w:rPr>
          <w:b/>
        </w:rPr>
        <w:t>E. 2</w:t>
      </w:r>
    </w:p>
    <w:p>
      <w:r>
        <w:t>L’Autorité de recours en matière pénale revoit la cause en fait, en droit et en opportunité, donc avec un plein pouvoir d’examen (art. 391 et 393 al. 2 CPP ; cf. Calame , in : CR CPP, 2 e éd., n. 1-2 ad art. 391).</w:t>
      </w:r>
    </w:p>
    <w:p>
      <w:r>
        <w:rPr>
          <w:b/>
        </w:rPr>
        <w:t>E. 3</w:t>
      </w:r>
    </w:p>
    <w:p>
      <w:r>
        <w:t>; cf. aussi Julen Berthod , in : CR CPP, 2e éd., n. 10 ad art. 263). L’article 71 al. 3 CP prévoit que l’autorité d’instruction peut placer sous séquestre, en vue de l’exécution d’une créance compensatrice, des valeurs patrimoniales appartenant à la personne concernée. Par « personne concernée » au sens de cette disposition, on entend non seulement l'auteur, mais aussi, à certaines conditions, un tiers favorisé, d'une manière ou d'une autre, par l'infraction (cf. art. 71 al. 1 CP renvoyant à l'art. 70 al. 2 CP ; ATF 140 IV 57 cons. 4.1.2). Les valeurs patrimoniales confisquées et le produit de créances compensatrices peuvent revenir aux lésés, afin de couvrir leur dommage (art. 73 al. 1 let. b et c CP ; ATF 140 IV 57 cons. 4.2). L’article 263 al. 1 let. b CPP prévoit en outre, notamment, que des valeurs patrimoniales appartenant au prévenu ou à des tiers peuvent être mis sous séquestre lorsqu’il est probable qu’elles seront utilisées pour garantir le paiement des frais de procédure, des peines pécuniaires, des amendes et des indemnités. Un séquestre est une mesure fondée sur la vraisemblance ; elle porte sur des biens dont on peut admettre, prima facie , qu'ils pourront être confisqués en application du droit pénal fédéral. Tant que l'instruction n'est pas achevée et que subsiste une probabilité de confiscation, de créance compensatrice ou d'une allocation au lésé, la mesure conservatoire doit être maintenue ; un séquestre ne peut être levé que dans l'hypothèse où il est d'emblée manifeste et indubitable que les conditions matérielles d'une confiscation ne sont pas réalisées et ne pourront pas l'être (arrêts du TF du 13.12.2022 [1B_398/2022] cons. 5.3 et du 26.05.2021 [1B_254/2021] cons. 2 ; ATF 141 IV 360 cons. 2 ; ATF 140 IV 133 cons. 4.2.1). c) En l’espèce, il faut d’abord relever, avec le Ministère public, que contrairement à ce que soutient le recourant, les 4'990 francs ayant fait l’objet d’une fraude n’ont apparemment pas été restitués à A.________. En tout cas, les extraits des comptes du recourant, tant à la Banque [1] qu’à la Banque [2], ne font aucune mention d’un débit de l’un de ces comptes pour un remboursement au lésé. Par ailleurs, tant dans son message au Ministère public du 11 décembre 2023 que dans son mémoire de recours, le recourant prétend qu’un ami auquel il avait prêté de l’argent lui aurait dit qu’il allait recevoir de l’argent sur son compte, versé par un tiers, en remboursement d’une partie du prêt, ce dont il semble vouloir déduire qu’il pouvait considérer comme légitime de recevoir 4'990 francs provenant d’une personne qu’il ne connaissait pas du tout, soit A.________. Le recourant s’est cependant gardé de fournir l’identité de cet ami, ce qui empêche toute vérification de ses dires. À ce stade et au vu de la chronologie des faits qui sera établie ci-après, on ne peut pas considérer que les déclarations du recourant seraient vraisemblables. La chronologie des mouvements effectués sur les comptes du recourant les 27 et 28 novembre 2023 amène à considérer les transactions effectuées comme étant pour le moins inusuelles. Au début de la journée du 27 novembre 2023, les deux comptes du recourant dont il est question ici n’étaient pas approvisionnés (solde à zéro sur le compte Banque [1] et de 2.01 francs sur le compte Banque [2]). Le compte Banque [1] avait été ouvert très récemment et n’avait jusque-là enregistré aucune transaction. Les mouvements sur les comptes du recourant ont alors été les suivants : - 27.11.23 : réception des 4'990 francs sur le compte Banque [1], en provenance du compte Banque [1] de A.________ (débit à 11h04) ; - 27.11.23 : transfert des 4'990 francs sur le compte Banque [2] ; - 27.11.23, à 13h54 : retrait en liquide de 3'740 francs du compte Banque [2] ; - 27.11.23, à 13h56, dépôt de 3'740 francs en liquide sur le compte Banque [1] ; - 27.11.23, à 13h14 (ou peut-être 14h14, vu le décalage horaire) : paiement de 3'210 francs, par carte de débit, sur un compte D.________ en Grande-Bretagne, au débit du compte de la Banque [1] (l’enquête dira sans doute si c’est sur un propre compte chez D.________ que le recourant a transféré l’argent) ; - 27.11.23, entre 16h31 et 17h03 : trois achats, pour au total 338.15 francs, chez B.________ ; - 28.11.23 : versement de 430 francs sur un compte du recourant en Serbie, au débit du compte de la Banque [2] ; - 28.11.23 : réception de 150 francs sur le compte Banque [2], provenant de C.________. On ne comprend pas en quoi il aurait été utile au recourant de transférer, après 11h00, les 4'990 francs de son compte Banque [1] sur son compte Banque [2], pour transférer dans l’autre sens 3'740 francs, avant 14h00, par deux opérations de retrait, puis un versement en liquide. Cela donne l’impression qu’il cherchait à dissimuler l’origine de certains fonds, par des transactions successives. En tout cas, ces opérations n’obéissent à aucune logique et, en l’état, le soupçon demeure que le recourant a pu être impliqué dans la fraude dont A.________ a été la victime, ceci à un titre ou à un autre, par exemple comme personne mettant un compte à la disposition de fraudeurs, contre rémunération. Le séquestre en cause peut porter à la fois sur des valeurs – provenant de l’infraction ou pas – destinées à être restituées au lésé et sur des avoirs destinés à garantir le paiement de créances compensatrices ou des frais de justice. Vu le montant en jeu, qui n’atteint de loin pas celui du dommage, le séquestre respecte le principe de proportionnalité. Dans ces conditions, il faut retenir qu’il n’est en tout cas pas d'emblée manifeste et indubitable que les conditions matérielles d'une confiscation ne sont pas réalisées et ne pourront pas l'être, au sens exigé par la jurisprudence citée plus haut pour la levée d’un séquestre. Le séquestre prononcé le 12 décembre 2023 sur l’avoir à la Banque [2] se justifie (étant noté que le montant finalement séquestré a été rectifié par le Ministère public, ce dont on imagine que la Banque [2] a été ou sera encore avisée). Aucun recours n’ayant été déposé contre l’ordonnance de séquestre du 21 décembre 2023 (avoirs déposés sur le compte Banque [1]), il n’y a pas lieu d’examiner la question. On relèvera cependant que ce qui vaut pour le compte Banque [2] peut sans doute valoir, mutatis mutandis , pour le compte Banque [1].</w:t>
      </w:r>
    </w:p>
    <w:p>
      <w:r>
        <w:rPr>
          <w:b/>
        </w:rPr>
        <w:t>E. 4</w:t>
      </w:r>
    </w:p>
    <w:p>
      <w:r>
        <w:t>Vu ce qui précède, le recours doit être rejeté et la décision entreprise confirmée. Les frais de la procédure de recours seront mis à la charge du recourant. Il n’y a pas lieu à octroi d’indemnités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