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ARMP.2023.124 vom 9. November 2023</w:t>
      </w:r>
    </w:p>
    <w:p>
      <w:r>
        <w:t>NE Tribunal cantonal, 2023-11-09, FR</w:t>
      </w:r>
    </w:p>
    <w:p>
      <w:r>
        <w:rPr>
          <w:b/>
        </w:rPr>
        <w:t xml:space="preserve">Quelle: </w:t>
      </w:r>
      <w:r>
        <w:t>https://mcp.opencaselaw.ch/entscheid/ne_gerichte_ARMP.2023.124</w:t>
      </w:r>
    </w:p>
    <w:p>
      <w:r>
        <w:t>FR: NE_GERICHTE ARMP.2023.124 du 9 novembre 2023</w:t>
      </w:r>
    </w:p>
    <w:p>
      <w:r>
        <w:t>IT: NE_GERICHTE ARMP.2023.124 del 9 novembre 2023</w:t>
      </w:r>
    </w:p>
    <w:p>
      <w:pPr>
        <w:pStyle w:val="Heading2"/>
      </w:pPr>
      <w:r>
        <w:t>Erwägungen</w:t>
      </w:r>
    </w:p>
    <w:p>
      <w:r>
        <w:rPr>
          <w:b/>
        </w:rPr>
        <w:t>E. 1</w:t>
      </w:r>
    </w:p>
    <w:p>
      <w:r>
        <w:t>Que X.________, né en 2000 à […], en Syrie, a fait l’objet, le 7 mars 2022, d’une décision d’ouverture d’une instruction pénale pour avoir, le même jour, mis intentionnellement le feu au matelas de son lit dans sa cellule de l’établissement pénitentiaire, nécessitant son évacuation, ainsi que celle de dix autres détenus et plusieurs agents de détention, en raison du dégagement de fumées toxiques que cela a créé, mettant ainsi sciemment en danger la vie ou l’intégrité corporelle d’autres personnes (infraction à l’art. 221 al. 2 CP, incendie intentionnel) ; qu’il est également reproché à X.________ de s’en être pris physiquement, le même jour, au gendarme A.________), ainsi qu’à l’agent de détention B.________ ; qu’au moment de ces faits, X.________ se trouvait détenu à l’établissement pénitentiaire suite à un jugement rendu par les autorités jurassiennes le 14 février 2022, sur la base d’un rapport d’expertise du 31 juillet 2021, faisant état d’un trouble schizophrénique qui s’aggravait en l’absence de traitement ad hoc et recommandant la mise en place d’une mesure institutionnelle au sens de l’article 59 al. 3 CP en lieu et place d’une condamnation dans une précédente affaire, ce qui avait conduit les autorités jurassiennes à ordonner un traitement institutionnel en milieu fermé ; que tant le Service des bâtiments de l’État de Neuchâtel que le Service pénitentiaire ont fait état de dommages causés par l’incendie déclenché par X.________, s’élevant à plusieurs centaines de milliers de francs ; que dans le cadre de l’instruction pénale pour infraction à l’article 221 al. 2 CP ouverte contre X.________, une nouvelle expertise psychiatrique (complémentaire à celle du 31 juillet 2021) a été sollicitée du Dr C.________, psychiatre-psychothérapeute FMH, qui a rendu son rapport le 31 octobre 2022, avec un complément délivré le 16 janvier 2023 ; qu’au titre des diagnostics psychiatriques, cette nouvelle expertise retient une schizophrénie paranoïde, d’évolution continue, des troubles mentaux et du comportement liés à l’utilisation de dérivés de cannabis, ainsi qu’un syndrome de dépendance et des antécédents personnels de non observance d’un traitement médical et d’un régime et qu’au moment des faits reprochés, le discernement de X.________ était totalement altéré du fait de la sévérité des troubles psychiatriques constatés ; que cette expertise recommande également une mesure institutionnelle au sens de l’article 59 al. 3 CP ; que X.________ a été mis au bénéfice d’une défense obligatoire avec défense d’office, confiée dans un premier temps à Me D.________, avant un premier changement de mandataire le 22 avril 2022 avec la désignation de Me E.________, puis, après un nouveau changement, l’intervention comme mandataire d’office de Me F.________, à compter du 28 novembre 2022.</w:t>
      </w:r>
    </w:p>
    <w:p>
      <w:r>
        <w:rPr>
          <w:b/>
        </w:rPr>
        <w:t>E. 2</w:t>
      </w:r>
    </w:p>
    <w:p>
      <w:r>
        <w:t>Dit que le prévenu exécute déjà une mesure institutionnelle en milieu fermé selon l’article 59 al. 3 CP et qu’une deuxième mesure ne sera ainsi pas requise.</w:t>
      </w:r>
    </w:p>
    <w:p>
      <w:r>
        <w:rPr>
          <w:b/>
        </w:rPr>
        <w:t>E. 3</w:t>
      </w:r>
    </w:p>
    <w:p>
      <w:r>
        <w:t>Alloue le montant de 2'205.21 francs, TVA et débours compris, à Me F.________, en sa qualité de mandataire d’office.</w:t>
      </w:r>
    </w:p>
    <w:p>
      <w:r>
        <w:rPr>
          <w:b/>
        </w:rPr>
        <w:t>E. 4</w:t>
      </w:r>
    </w:p>
    <w:p>
      <w:r>
        <w:t>Dit que X.________ devrait rembourser à l’ É tat l’indemnité versée à son défenseur d’office, en cas de retour à meilleure fortune.</w:t>
      </w:r>
    </w:p>
    <w:p>
      <w:r>
        <w:rPr>
          <w:b/>
        </w:rPr>
        <w:t>E. 5</w:t>
      </w:r>
    </w:p>
    <w:p>
      <w:r>
        <w:t>Met les frais de la procédure, d’un montant de 23'100 francs, à la charge du prévenu.</w:t>
      </w:r>
    </w:p>
    <w:p>
      <w:r>
        <w:rPr>
          <w:b/>
        </w:rPr>
        <w:t>E. 6</w:t>
      </w:r>
    </w:p>
    <w:p>
      <w:r>
        <w:t>Que l’article 419 CPP prévoit, sous le titre « Frais à la charge des personnes irresponsables », que si la procédure a fait l’objet d’une ordonnance de classement en raison de l’irresponsabilité du prévenu ou si celui-ci a été acquitté pour ce motif, les frais peuvent être mis à sa charge si l’équité l’exige au vu de l’ensemble des circonstances ;</w:t>
      </w:r>
    </w:p>
    <w:p>
      <w:r>
        <w:rPr>
          <w:b/>
        </w:rPr>
        <w:t>E. 6.1</w:t>
      </w:r>
    </w:p>
    <w:p>
      <w:r>
        <w:t>que cette disposition envisage une application analogique de l’article 54 CO, qui institue une responsabilité causale fondée sur les risques que présente pour autrui l’état de la personne incapable de discernement (arrêt du TF du 30.05.2018 [6B_1395/2017] cons. 1.3) ; que dans son arrêt ATF 145 IV 94 du</w:t>
      </w:r>
    </w:p>
    <w:p>
      <w:r>
        <w:rPr>
          <w:b/>
        </w:rPr>
        <w:t>E. 6.2</w:t>
      </w:r>
    </w:p>
    <w:p>
      <w:r>
        <w:t>qu’à ce titre, on doit constater que la situation financière du prévenu est ici peu favorable, puisqu’il n’a pas de formation professionnelle, n’avait avant son incarcération pas d’activité lucrative, dépendait des services sociaux et souffre d’une maladie psychiatrique grave, qui le rend incapable de discernement et justifie une mesure de traitement institutionnelle ; que l’équité n’exige pas de mettre à la charge du recourant les frais de la procédure, selon les critères développés ci-dessus, sachant en particulier qu’il ne dispose pas de moyens financiers et que tel est très probablement le cas de son entourage familial (l’expertise psychiatrique évoque le décès de son père en 2012 et un passé migratoire, avec une mère coiffeuse en Syrie avant cela) ; que l’état mental du prévenu ne peut pas être considéré comme voisin de la norme au moment des faits, puisque le prévenu se trouvait précisément alors incarcéré dans le cadre d’une mesure institutionnelle de l’article 59 al. 3 CP, prononcée suite à de précédentes infractions commises en état d’irresponsabilité ; que dans ces circonstances, la mise à la charge du recourant des frais de la procédure, qui aurait sur le principe – si les conditions en avaient été remplies – pu intervenir sur la base de l’article 419 CPP (et non pas, comme la procureure l’a retenu, de l’article 426 al. 2 CPP, dont les critères sont différents et sont en particulier fondés sur le fait que le prévenu aurait provoqué l’ouverture de la procédure pénale et agi de manière illicite et fautive), contrevient à l’équité et donc à cette disposition.</w:t>
      </w:r>
    </w:p>
    <w:p>
      <w:r>
        <w:rPr>
          <w:b/>
        </w:rPr>
        <w:t>E. 7</w:t>
      </w:r>
    </w:p>
    <w:p>
      <w:r>
        <w:t>Que dans la mesure où les frais de la procédure ne peuvent pas être mis à la charge du recourant, ce dernier ne peut pas être condamné à rembourser, dès que sa situation financière le permettrait, les frais d’honoraires de son mandataire d’office (art. 135 al. 4 CPP a contrario ).</w:t>
      </w:r>
    </w:p>
    <w:p>
      <w:r>
        <w:rPr>
          <w:b/>
        </w:rPr>
        <w:t>E. 8</w:t>
      </w:r>
    </w:p>
    <w:p>
      <w:r>
        <w:t>Qu’au vu de ce qui précède, le recours doit être admis, en ce sens que les chiffres 4 et 5 du dispositif de l’ordonnance de classement du 26 septembre 2023 doivent être réformés pour prévoir une mise des frais de la procédure à la charge de l’État et la précision que X.________ ne devra pas rembourser l’indemnité versée à son défenseur d’office.</w:t>
      </w:r>
    </w:p>
    <w:p>
      <w:r>
        <w:rPr>
          <w:b/>
        </w:rPr>
        <w:t>E. 9</w:t>
      </w:r>
    </w:p>
    <w:p>
      <w:r>
        <w:t>Que vu le sort du recours, les frais de la procédure de recours seront laissés à la charge de l’État ; que sachant que le recourant bénéficie de l’assistance judiciaire, son mandataire d’office a droit à être indemnisé pour cette phase de la procédure ; que le montant de 463 francs d’honoraires, plus 23 francs de frais et 37.20 francs de TVA, est raisonnable, si bien que le total de 520.20 francs sera alloué (v. art. 19 al. 2 LAJ) ; que le prévenu ne devra pas rembourser ce montant à l’État (art. 135 al. 4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