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ARMP.2023.113 vom 16. Oktober 2023</w:t>
      </w:r>
    </w:p>
    <w:p>
      <w:r>
        <w:t>NE Tribunal cantonal, 2023-10-16, FR</w:t>
      </w:r>
    </w:p>
    <w:p>
      <w:r>
        <w:rPr>
          <w:b/>
        </w:rPr>
        <w:t xml:space="preserve">Quelle: </w:t>
      </w:r>
      <w:r>
        <w:t>https://mcp.opencaselaw.ch/entscheid/ne_gerichte_ARMP.2023.113</w:t>
      </w:r>
    </w:p>
    <w:p>
      <w:r>
        <w:t>FR: NE_GERICHTE ARMP.2023.113 du 16 octobre 2023</w:t>
      </w:r>
    </w:p>
    <w:p>
      <w:r>
        <w:t>IT: NE_GERICHTE ARMP.2023.113 del 16 ottobre 2023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Vu l’ensemble de ce qui précède, c’est avec raison que le Ministère public a refusé la requête de la prévenue tendant à la mise en œuvre d’une défense d’office. Le recours doit être rejeté et les frais de la procédure de recours mis à la charge de la recourante, qui succombe (art. 428 al. 1 CPP et 42 de la loi du 6 novembre 2019 fixant le tarif des frais, des émoluments de chancellerie et des dépens en matière civile, pénale et administrative [ LTFrais , RSN 164.1]).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