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ARMP.2023.112 vom 31. Oktober 2023</w:t>
      </w:r>
    </w:p>
    <w:p>
      <w:r>
        <w:t>NE Tribunal cantonal, 2023-10-31, FR</w:t>
      </w:r>
    </w:p>
    <w:p>
      <w:r>
        <w:rPr>
          <w:b/>
        </w:rPr>
        <w:t xml:space="preserve">Quelle: </w:t>
      </w:r>
      <w:r>
        <w:t>https://mcp.opencaselaw.ch/entscheid/ne_gerichte_ARMP.2023.112</w:t>
      </w:r>
    </w:p>
    <w:p>
      <w:r>
        <w:t>FR: NE_GERICHTE ARMP.2023.112 du 31 octobre 2023</w:t>
      </w:r>
    </w:p>
    <w:p>
      <w:r>
        <w:t>IT: NE_GERICHTE ARMP.2023.112 del 31 ottobre 2023</w:t>
      </w:r>
    </w:p>
    <w:p>
      <w:pPr>
        <w:pStyle w:val="Heading2"/>
      </w:pPr>
      <w:r>
        <w:t>Erwägungen</w:t>
      </w:r>
    </w:p>
    <w:p>
      <w:r>
        <w:rPr>
          <w:b/>
        </w:rPr>
        <w:t>E. 5</w:t>
      </w:r>
    </w:p>
    <w:p>
      <w:r>
        <w:t>Selon l'article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L'article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 2.1 ; 138 IV 130 cons.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 ATF 144 IV 13 cons. 2.2.2 ; arrêts du TF du 08.11.2019 [6B_383/2019] cons. 8.3.1 ; du 19.07.2019 [6B_467/2019] cons. 3.3.1).</w:t>
      </w:r>
    </w:p>
    <w:p>
      <w:r>
        <w:rPr>
          <w:b/>
        </w:rPr>
        <w:t>E. 5.1</w:t>
      </w:r>
    </w:p>
    <w:p>
      <w:r>
        <w:t>La recourante reproche à C.________ d’avoir modifié les contrats de manière unilatérale et de les avoir utilisés, d’une part, dans le cadre de la comptabilité de l'entreprise A.________ SA et, d’autre part, afin de « se départir plus rapidement d'un contrat qui constituait une double charge », d’autre part.</w:t>
      </w:r>
    </w:p>
    <w:p>
      <w:r>
        <w:rPr>
          <w:b/>
        </w:rPr>
        <w:t>E. 5.2</w:t>
      </w:r>
    </w:p>
    <w:p>
      <w:r>
        <w:t>D’emblée, on doit constater que la recourante n’est pas personnellement et directement touchée par l’usage que A.________ SA a fait de sa comptabilité. Sur ce point, la qualité pour recourir fait manifestement défaut.</w:t>
      </w:r>
    </w:p>
    <w:p>
      <w:r>
        <w:rPr>
          <w:b/>
        </w:rPr>
        <w:t>E. 5.3</w:t>
      </w:r>
    </w:p>
    <w:p>
      <w:r>
        <w:t>Ensuite, les dispositions du Titre 11 du Livre 2 du Code pénal protègent en première ligne le bien juridique collectif qu’est la confiance accordée dans la vie juridique à un titre comme moyen de preuve ( Dupuis et al. [ É dit.] , PC CP, p. 1562, n. 2 et les réf. cit.). Si les intérêts individuels sont également protégés ( idem ), la recourante ne peut pas se prévaloir d’un tel intérêt, à mesure que, pour les raisons déjà mentionnées plus haut, les contrats déposés par la société locataire dans la procédure civile qui l’opposait à X.________ n’ont joué aucun rôle dans les prononcés du Tribunal civil, d’une part, et de la CACIV, d’autre part.</w:t>
      </w:r>
    </w:p>
    <w:p>
      <w:r>
        <w:rPr>
          <w:b/>
        </w:rPr>
        <w:t>E. 5.4</w:t>
      </w:r>
    </w:p>
    <w:p>
      <w:r>
        <w:t>Sur le fond, une infraction de faux dans les titres est de toute manière exclue, au premier motif que la société locataire a indiqué de manière transparente devant le Tribunal civil que les contrats déposés n’étaient pas des originaux. à cela s’ajoute encore que s elon une jurisprudence bien établie, un contrat dont le contenu est faux ne constitue en principe pas un titre car il ne bénéficie pas de la crédibilité accrue nécessaire ( ATF 146 IV 258 cons. 1.1.1 et les arrêts cités). En effet, un tel contrat prouve que deux personnes ont fait, de manière concordante, une déclaration de volonté déterminée, mais n'établit pas que les deux manifestations de volonté concordantes correspondent à la volonté réelle des stipulants ;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123 IV 61 cons. 5c/cc ; 120 IV 25 cons. 3f ; arrêt du TF du 14.05.2012 [6B_472/2011] cons. 14.2). L'article 251 CP a ainsi été jugé inapplicable à un contrat de vente dont certains éléments étaient faux ( ATF 120 IV 25 ), à un contrat simulé utilisé par une partie pour obtenir un crédit ( ATF 123 IV 61 ), ainsi qu'à un contrat de travail qui ne bénéficiait d'aucune garantie de véracité particulière (arrêts du TF du 03.01.2004 [6S.423/2003] cons. 4.3 et du 01.11.2000 [6S.375/2000] cons. 2c). Le faux intellectuel dans les titres n'a pas non plus été admis s'agissant de deux déclarations relatives au financement de l'achat d'un appartement, documents dont le contenu était mensonger ( ATF 125 IV 273 cons. 3b). De même, le Tribunal fédéral a jugé que la production, dans le cadre d’une procédure matrimoniale, d’un contrat de vente constatant faussement que le prix de vente d’un snack-bar était de 10'000 francs, alors que le prix réel était de 150'000 francs, ne pouvait pas constituer un faux intellectuel, quand bien même il devait servir à tromper l'épouse du vendeur dans le cadre de la liquidation de leur régime matrimonial ( ATF 146 IV 258 ). Dès lors qu’il n’existe en l’espèce aucune garantie spéciale que les déclarations concordantes des parties correspondent à leur volonté réelle dans les contrats litigieux, une infraction de faux dans les titres est exclue pour ce motif également.</w:t>
      </w:r>
    </w:p>
    <w:p>
      <w:r>
        <w:rPr>
          <w:b/>
        </w:rPr>
        <w:t>E. 6</w:t>
      </w:r>
    </w:p>
    <w:p>
      <w:r>
        <w:t>Il n’y a au surplus pas lieu – la recourante ne le demande d’ailleurs pas – de surseoir à statuer jusqu’à droit connu sur le sort du recours pendant devant le Tribunal fédéral contre l’arrêt de la CACIV du 31 juillet 2023. En effet, en application de l'article 323 al. 1 CPP,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 ATF 141 IV 194 cons. 2.3). Si l’arrêt à rendre par la Haute Cour devait apporter des faits nouveaux susceptibles de modifier ce qui précède et de révéler une responsabilité pénale de C.________ (en particulier tenir pour décisive l’une ou l’autre des pièces litigieuses, contrairement à ce qu’a retenu la CACIV), la recourante pourrait s’en prévaloir pour demander au Ministère public la reprise de la procédure MP.2023.3737.</w:t>
      </w:r>
    </w:p>
    <w:p>
      <w:r>
        <w:rPr>
          <w:b/>
        </w:rPr>
        <w:t>E. 7</w:t>
      </w:r>
    </w:p>
    <w:p>
      <w:r>
        <w:t>Vu ce qui précède, le recours doit être rejeté et la décision querellée confirmée. Les frais, arrêtés à 800 francs, seront mis à la charge de la recourante, qui les a avancés (art. 428 al. 1 CPP et art. 42 de la loi du 6 novembre 2019 fixant le tarif des frais, des émoluments de chancellerie et des dépens en matière civile, pénale et administrative [ LTFrais , RSN 164.1]). C.________ n’a pas été invité à participer à la procédure de recours (art. 390 al. 2 CPP a contrario ), si bien qu’il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