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ARMP.2023.111 vom 23. Oktober 2023</w:t>
      </w:r>
    </w:p>
    <w:p>
      <w:r>
        <w:t>NE Tribunal cantonal, 2023-10-23, FR</w:t>
      </w:r>
    </w:p>
    <w:p>
      <w:r>
        <w:rPr>
          <w:b/>
        </w:rPr>
        <w:t xml:space="preserve">Quelle: </w:t>
      </w:r>
      <w:r>
        <w:t>https://mcp.opencaselaw.ch/entscheid/ne_gerichte_ARMP.2023.111</w:t>
      </w:r>
    </w:p>
    <w:p>
      <w:r>
        <w:t>FR: NE_GERICHTE ARMP.2023.111 du 23 octobre 2023</w:t>
      </w:r>
    </w:p>
    <w:p>
      <w:r>
        <w:t>IT: NE_GERICHTE ARMP.2023.111 del 23 ottobre 2023</w:t>
      </w:r>
    </w:p>
    <w:p>
      <w:pPr>
        <w:pStyle w:val="Heading2"/>
      </w:pPr>
      <w:r>
        <w:t>Erwägungen</w:t>
      </w:r>
    </w:p>
    <w:p>
      <w:r>
        <w:rPr>
          <w:b/>
        </w:rPr>
        <w:t>E. 1</w:t>
      </w:r>
    </w:p>
    <w:p>
      <w:r>
        <w:t>Déposé dans les formes et délai légaux, par une personne ayant qualité pour recourir, le recours est recevable (393 al. 1 let. a et 396 al. 1 CPP). Les pièces produites avec le mémoire de recours le sont aussi. Il n’est pas nécessaire de s’arrêter à la question du pouvoir de représentation de Me D.________, dans la mesure où le recours a été déposé avant la décision résiliant les mandats de cet avocat. On admettra les pièces produites, en relevant que celles envoyées le 3 octobre 2023 par la recourante personnellement figuraient déjà au dossier.</w:t>
      </w:r>
    </w:p>
    <w:p>
      <w:r>
        <w:rPr>
          <w:b/>
        </w:rPr>
        <w:t>E. 2</w:t>
      </w:r>
    </w:p>
    <w:p>
      <w:r>
        <w:t>L'Autorité de recours en matière pénale jouit d'un plein pouvoir d'examen, en fait, en droit et en opportunité (art. 393 CPP), sans être liée par les motifs invoqués par les parties, ni par les conclusions de celles-ci (art. 391 CPP).</w:t>
      </w:r>
    </w:p>
    <w:p>
      <w:r>
        <w:rPr>
          <w:b/>
        </w:rPr>
        <w:t>E. 3</w:t>
      </w:r>
    </w:p>
    <w:p>
      <w:r>
        <w:t>a) L’article 6b LI-CPP prévoit que les procureurs assistants peuvent intervenir dans toutes les affaires dans lesquelles le prévenu est passible d'une peine privative de liberté de 4 mois au plus, d'une peine pécuniaire de 120 jours-amende au plus, d'un travail d'intérêt général de 480 heures au plus, ou d'une amende (al. 1), que s'il apparaît en cours de procédure que le prévenu encourt une peine supérieure, l'affaire est transmise au procureur général ou au procureur que ce dernier désigne (al. 2) et que les preuves administrées demeurent acquises au dossier et les actes d'enquête accomplis gardent leur validité (al. 3). L’article 6c let. b de la même loi octroie la compétence aux procureurs assistants de rendre une ordonnance de non-entrée en matière (art. 310 CPP ). Au sens de l’article 25 LI-CPP , les procureurs assistants peuvent procéder à toute audition sur délégation de l'autorité pénale à laquelle ils sont rattachés. L’article 34 de la même loi prévoit que, hormis les mesures de contrainte qui doivent être soumises au tribunal des mesures de contrainte, les procureurs peuvent confier tous actes d'instruction aux procureurs assistants. Dans son rapport au Grand Conseil à l’appui de la révision de la loi d’organisation judiciaire concernant les procureurs assistants, la Commission législative avait indiqué que les compétences attribuées aux procureurs assistants ne valaient que dans le cadre d’intervention tel que défini à l’article 6b LI-CPP ; si une affaire dépassait les limites fixées, les procureurs assistants ne pouvaient intervenir que sur délégation, comme prévu aux articles 25 et 34 (rapport au Grand Conseil, 14.606). b) La situation n’est pas très claire. À lire le commentaire de la Commission législative, on pourrait considérer que les procureurs assistants n’ont pas besoin de délégation d’un procureur pour traiter les affaires entrant dans le cadre de l’article 6b LI-CPP , sauf si des mesures de contrainte doivent être soumises au tribunal des mesures de contrainte. Ce n’est cependant pas forcément ce que l’on pourrait déduire d’une interprétation littérale de l’article 34 LI-CPP . Peu importe pour le cas d’espèce, car il est manifeste que l’affaire dont il est ici question entre dans le cadre de l’article 6b al. 1 LI-CPP , dans la mesure où, si A.________ avait commis une infraction, celle-ci ne pourrait pas entraîner une sanction supérieure à la limite fixée par cette disposition, que la loi – comme la recourante l’admet – ne prévoit pas que la délégation d’un procureur à un procureur assistant devrait revêtir la forme écrite et que, selon ce qui a été écrit en l’espèce par la procureure assistante, c’est effectivement une procureure qui l’a déléguée pour traiter la présente cause (la recourante ne soutient pas que la procureure assistante mentirait à ce sujet). Contrairement à ce que soutient la recourante, il n’est pas d’usage que la délégation à un procureur assistant soit donnée sous forme écrite : le mandataire de la recourante indique que des délégations lui ont été transmises dans d’autres causes, mais il n’en dépose aucune et les nombreux dossiers dont l’ARMP a à connaître chaque année et qui concernent des actes de procureurs assistants n’en contiennent en principe pas. Cela étant, on ne voit pas que la pratique actuelle, soit celle – en général au moins – que la délégation d’une cause à un procureur assistant ne soit pas confirmée par écrit, poserait un quelconque problème : si un procureur assistant agit et qu’une partie a un doute sur sa qualité pour le faire, rien n’empêche cette partie de demander au procureur général de confirmer – ou non – que le procureur assistant agit bien dans le cadre de ses compétences, le cas échéant sur la base d’une délégation. c) La décision entreprise n’est ainsi pas nulle et le recours est mal fondé sur cette question.</w:t>
      </w:r>
    </w:p>
    <w:p>
      <w:r>
        <w:rPr>
          <w:b/>
        </w:rPr>
        <w:t>E. 4</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b) Se rend coupable de contrainte selon l'article 181 CP celui qui, en usant de violence envers une personne ou en la menaçant d'un dommage sérieux, ou en l'entravant de quelque autre manière dans sa liberté d'action, l'aura obligée à faire, à ne pas faire ou à laisser faire un acte. Outre l'usage de la violence ou de menaces laissant craindre la survenance d'un dommage sérieux, il peut ainsi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du TF du 18.01.2021 [6B_693/2020] cons. 4.1, qui se réfère notamment à ATF 141 IV 437 cons. 3.2.1). c) Dans le domaine patrimonial, le principe de la subsidiarité du droit pénal est admis en ce sens qu'il incombe au droit civil, prioritairement, d'aménager les rapports contractuels et extracontractuels entre les individus. Dans une affaire assez récente, qui concernait l'utilisation sans droit de valeurs patrimoniales punissable selon l'article 141bis CP, le Tribunal fédéral s'est référé au principe de la subsidiarité du droit pénal par rapport au droit civil ; au regard de ce principe, il a exposé que toute violation d'une obligation de restituer une chose mobilière ne pouvait pas être assimilée à une soustraction punissable, que la menace d'une sanction pénale n'était d'ordinaire pas nécessaire à la protection de l'ayant droit, et que les voies judiciaires civiles étaient au contraire suffisantes (arrêt du TF du 22.06.2022 [6B_1116/2021] cons. 3.1, qui se réfère à ATF 141 IV 71 cons. 7). d) En l’espèce, il est clair que le litige entre la recourante et A.________ relève des rapports contractuels entre elles. L’article 1.2 du contrat de bail donne à la recourante le droit d’utiliser une chambre, la cuisine et la salle de bains dans la maison louée à A.________. Selon le manuscrit de la plaignante, celle-ci aurait voulu mettre fin au bail en mars 2023 pour retourner habiter dans sa maison, mais la locataire a refusé, ce qui a finalement conduit à la résiliation signifiée en juin 2023. D’après la plainte, la locataire s’oppose, depuis un certain temps déjà, à l’exercice du droit de la recourante de jouir d’une chambre à l’étage de la maison, mais le manuscrit de la plaignante ne mentionne qu’un épisode concret où l’accès aux lieux lui aurait été refusé, soit celui de juillet 2023. Quoi qu’il en soit et même s’il n’y a eu qu’un cas où concrètement, la locataire n’a pas accepté que la bailleresse entre dans les lieux, ladite locataire n’a pas exécuté le contrat de bail de la manière prévue par les parties au moment de le conclure. Cependant, elle n’a pas fait usage de violence ou de menace, comme la recourante l’admet, et, à lire les explications de la même, elle s’est contentée – dans le seul cas concret évoqué – de lui refuser l’accès dans les lieux, lorsque la recourante s’est présentée à sa porte ; les choses se sont apparemment passées de manière courtoise, puisque la recourante a indiqué qu’elle avait regardé A.________ dans les yeux, lui avait serré la main et lui avait fait part de sa déception devant la rupture de confiance que le refus manifestait. On se trouve bien loin d’une contrainte analogue à celle constituée par des actes de violence ou des menaces sérieuses. Si on comprend bien le manuscrit transmis par la recourante au Ministère public le 19 septembre 2023, l’intéressée avait alors déjà reçu un courriel d’un avocat, dont on peut présumer qu’il s’agissait de celui de A.________, qui lui indiquait pourquoi cette dernière n’entendait pas se conformer à l’article 1.2 du contrat de bail (« un mail ayant été envoyé par un avocat pour m’interdire la colocation inscrite dans le bail, à cause des enfants perturbés, alors que j’avais promis à l’un d’eux une partie d’échecs » ; ni la recourante, ni son mandataire n’ont produit le courriel en question, ce qui peut surprendre et laisser penser qu’ils n’entendent pas renseigner l’autorité pénale de manière complète sur le contexte du litige et que la question de l’accès de la recourante à la chambre à l’étage a été discutée, avec des arguments de part et d’autre) ; cela va aussi dans le sens d’un litige de nature contractuelle. La situation est analogue à celle de locataires dont le bail a été définitivement résilié, mais qui ne libèrent pas les lieux, et dont il ne viendrait à l’idée de personne de considérer qu’il conviendrait de les poursuivre pénalement, la voie civile de la procédure en expulsion étant ouverte aux propriétaires concernés, ce qui suffit pour sauvegarder leurs droits. Cette situation se distingue en outre nettement du cas, évoqué par la recourante, d’une personne qui serait privée de la clé de sa voiture dans un lieu désert ( Corboz , Les infractions en droit suisse, vol I, n. 16 ad art. 181 CP), ne serait-ce que parce que la recourante, en juillet 2023, disposait d’un autre logement et ne se trouvait ainsi pas abandonnée en terrain inconnu, sans savoir comment préserver son confort et sa santé. Elle se distingue tout aussi nettement du blocage complet de l’entrée principale d’un bâtiment administratif, cas également évoqué par la recourante (arrêt du TF du 11.12.1998 [6S.671/1998], notamment cité dans l’arrêt du TF du 19.04.2021 [6B_461/2020] cons. 2.3) et dans lequel le blocage – qui n’est pas un simple refus, manifesté oralement, de laisser entrer une personne – a pour effet d’empêcher les collaborateurs de l’administration concernée de se rendre à leur lieu de travail. Dans son manuscrit, la plaignante a certes indiqué que la locataire lui avait, après qu’elles se sont serré la main, « barr[é] la porte » , mais elle n’explique pas comment, ne soutenant notamment pas qu’il y aurait eu un quelconque contact physique à ce moment-là, ni que la locataire l’aurait dissuadée d’essayer d’entrer par des paroles assimilables à des menaces. Faute de contrainte par des moyens analogues à la violence et la menace, au sens exigé par la jurisprudence fédérale, et en fonction du principe de subsidiarité du droit pénal, il faut retenir que le grief de la recourante est infondé.</w:t>
      </w:r>
    </w:p>
    <w:p>
      <w:r>
        <w:rPr>
          <w:b/>
        </w:rPr>
        <w:t>E. 5</w:t>
      </w:r>
    </w:p>
    <w:p>
      <w:r>
        <w:t>Il résulte de ce qui précède que le recours doit être rejeté, aux frais de la recourante, qui n’a pas droit à une indemnité de dépens. A.________ n’ayant pas été appelée à procéder, elle n’a pas non plus droit à 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