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ARMP.2023.101 vom 16. Oktober 2023</w:t>
      </w:r>
    </w:p>
    <w:p>
      <w:r>
        <w:t>NE Tribunal cantonal, 2023-10-16, FR</w:t>
      </w:r>
    </w:p>
    <w:p>
      <w:r>
        <w:rPr>
          <w:b/>
        </w:rPr>
        <w:t xml:space="preserve">Quelle: </w:t>
      </w:r>
      <w:r>
        <w:t>https://mcp.opencaselaw.ch/entscheid/ne_gerichte_ARMP.2023.101</w:t>
      </w:r>
    </w:p>
    <w:p>
      <w:r>
        <w:t>FR: NE_GERICHTE ARMP.2023.101 du 16 octobre 2023</w:t>
      </w:r>
    </w:p>
    <w:p>
      <w:r>
        <w:t>IT: NE_GERICHTE ARMP.2023.101 del 16 ottobre 2023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et 16 mai 2023 et quil nait pas répondu (avant sa réponse du 7 septembre 2023 dans le cadre de la procédure de recours) aux lettres des 6 juillet et 4 août 2023 en expliquant quels actes denquête avaient été faits, lesquels étaient en cours et comment il envisageait la suite de la procédure. Le procureur a exprimé «[s]on mea culpa» à ce sujet dans sa réponse au recours et, en tout état de cause, la recourante na pas conclu à ce que le MP-NE accuse réception des plaintes des 4 et 16 mai 2023, ni à ce quil réponde aux lettres des 6 juillet et 4 août 2023 en expliquant quels actes denquête avaient été faits, lesquels étaient en cours et comment il envisageait la suite de la procédure. Elle a conclu à ce quil soit ordonné à cette autorité «dentreprendre toutes démarches dinvestigations utiles dans le dossier [MP.]2023.240». Le recours était infondé, en rapport avec la seule démarche concrète mentionnée dans la motivation du mémoire de recours, à savoir linterrogatoire de A.________. Pour le reste, le recours pour déni de justice ne peut viser à ce que lautorité de recours définisse elle-même quels actes denquête devraient être effectués et dans quels délais ; il appartient à la partie qui se plaint dun déni de justice ou dun retard injustifié dindiquer clairement à quels actes il aurait fallu procéder, ceci après les avoir préalablement requis sans succès du Ministère public (arrêt de lAutorité de céans du 09.07.2021 [ARMP.2021.65] cons. 5c).</w:t>
      </w:r>
    </w:p>
    <w:p>
      <w:r>
        <w:t>3.Vu ce qui précède, le recours est irrecevable et au surplus infondé. Les frais devraient en principe être mis à la charge de la recourante (art. 428 al. 1 CPP). Une telle solution apparaît cependant inéquitable ici, en ce sens que la recourante nétait pas valablement engagée par sa détentrice, soit X.________ (v.supracons. 1.2), si bien que ce nest pas F.________ Ltd mais X.________ qui a succombé.</w:t>
      </w:r>
    </w:p>
    <w:p>
      <w:r>
        <w:t>Larticle 417 CPP apporte un correctif dans ce genre de situations particulières. Selon cette disposition, en cas de défaut ou dautres actes de procédure viciés, lautorité pénale peut mettre les frais de procédure et les indemnités à la charge des participants à la procédure qui les ont occasionnés, quelle que soit lissue de la procédure. Cette disposition permet de mettre à la charge d'un participant à la procédure, indépendamment de l'issue de celle-ci, les frais relatifs à un acte particulier de procédure qu'il a invalidé en ne se conformant pas à ses devoirs procéduraux ; la violation objective de devoirs procéduraux suffit, aucun comportement coupable n'étant requis ; cette disposition tend à garantir ainsi le déroulement diligent de la procédure en menaçant des frais corrélatifs celui qui, au mépris de ses devoirs procéduraux, occasionne un vice de procédure (arrêt du TF du19.02.2013 [6B_5/2013]cons. 2.4 ; arrêt de lAutorité de céans du 26.06.2018 [ARMP.2018.49] cons. 5, publié inRJN 2018 p. 587ss). Sagissant de larticle 417 CPP, une lecture de la notion de«participants à la procédure» strictement limitée au sens des articles 104 s. CPP seraitinéquitable, notamment en tant quelle aboutirait à faire supporter à un participant à la procédure les manquements dus exclusivement au comportement personnel de son représentant (arrêt de lAutorité de céans du 26.06.2018 déjà cité, cons. 6).</w:t>
      </w:r>
    </w:p>
    <w:p>
      <w:r>
        <w:t>En lespèce, ces considérations déquité justifient de faire supporter les frais de la procédure de recours non pas à F.________ Ltd, laquelle, à défaut dêtre valablement représentée, ny a pas participé, mais à la charge de X.________, qui a prétendu être habilitée à engager F.________ Ltd, alors que tel nétait pas le cas, en tout cas au vu du dossier et de ses propres allégués.</w:t>
      </w:r>
    </w:p>
    <w:p>
      <w:r>
        <w:t>Par ces motifs,l'Autorité de recours en matière pénale</w:t>
      </w:r>
    </w:p>
    <w:p>
      <w:r>
        <w:t>1.Déclare le recours irrecevable, et au surplus infondé.</w:t>
      </w:r>
    </w:p>
    <w:p>
      <w:r>
        <w:t>2.Arrête les frais de la présente procédure à 800 francs et les met à la charge de      X.________.</w:t>
      </w:r>
    </w:p>
    <w:p>
      <w:r>
        <w:t>3.Notifie le présent arrêt à X.________ et à F.________ Ltd, par Me E.________, et au Ministère public, à La Chaux-de-Fonds (MP.2023.240).</w:t>
      </w:r>
    </w:p>
    <w:p>
      <w:r>
        <w:t>Neuchâtel, le 16 octobre 2023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