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ARMP.2022.76 vom 29. September 2022</w:t>
      </w:r>
    </w:p>
    <w:p>
      <w:r>
        <w:t>NE Tribunal cantonal, 2022-09-29, FR</w:t>
      </w:r>
    </w:p>
    <w:p>
      <w:r>
        <w:rPr>
          <w:b/>
        </w:rPr>
        <w:t xml:space="preserve">Quelle: </w:t>
      </w:r>
      <w:r>
        <w:t>https://mcp.opencaselaw.ch/entscheid/ne_gerichte_ARMP.2022.76</w:t>
      </w:r>
    </w:p>
    <w:p>
      <w:r>
        <w:t>FR: NE_GERICHTE ARMP.2022.76 du 29 septembre 2022</w:t>
      </w:r>
    </w:p>
    <w:p>
      <w:r>
        <w:t>IT: NE_GERICHTE ARMP.2022.76 del 29 settembre 2022</w:t>
      </w:r>
    </w:p>
    <w:p>
      <w:pPr>
        <w:pStyle w:val="Heading2"/>
      </w:pPr>
      <w:r>
        <w:t>Erwägungen</w:t>
      </w:r>
    </w:p>
    <w:p>
      <w:r>
        <w:rPr>
          <w:b/>
        </w:rPr>
        <w:t>E. 1</w:t>
      </w:r>
    </w:p>
    <w:p>
      <w:r>
        <w:t>Le recours a été interjeté dans le délai utile de 10 jours, par une personne qui dispose – comme détentrice du véhicule séquestré – d’un intérêt juridique à l’annulation ou la modification de la décision. Il respecte au surplus les formes prescrites par la loi (art. 382, 393 et 396 al. 1 CPP). Il est ainsi recevable.</w:t>
      </w:r>
    </w:p>
    <w:p>
      <w:r>
        <w:rPr>
          <w:b/>
        </w:rPr>
        <w:t>E. 2</w:t>
      </w:r>
    </w:p>
    <w:p>
      <w:r>
        <w:t>a) Selon l’article 263 al. 1 let. a CPP , des objets et des valeurs patrimoniales appartenant au prévenu ou à des tiers peuvent être mis sous séquestre, lorsqu’il est probable qu’ils seront utilisés comme moyens de preuves. b) Comme cela ressort du texte de cette disposition, une telle mesure est fondée sur la vraisemblance ; tant que l'instruction n'est pas achevée, une simple probabilité suffit (arrêt du TF du 26.05.2021 [1B_254/2021] cons. 2 ; ATF 140 IV 57 cons. 4.1.1). c) Tout séquestre doit respecter le principe de la proportionnalité, sous les trois aspects de l’aptitude de la mesure à atteindre son but, l’impossibilité d’atteindre le même résultat par des mesures moins incisives et le rapport raisonnable entre le but à atteindre et les intérêts privés compromis ( Delachaux/Sörensen/De Vries Reilingh , La jurisprudence de l’Autorité de recours en matière pénale, RJN 2014 p. 63-64). d) La réalisation des conditions posées au prononcé du séquestre doit être régulièrement vérifiée par l’autorité pénale, avec une plus grande rigueur à mesure que l’enquête progresse ; lorsque les conditions du séquestre tombent en cours d’instruction, le séquestre doit être immédiatement levé et les biens restitués à leur ayant droit, sans attendre le jugement ; c’est notamment le cas lorsque les objets saisis ne sont plus utiles à l’enquête ; la personne touchée par le séquestre a le droit de demander en tout temps la levée de la mesure lorsqu’un changement de circonstances le justifie ( Julen Berthod , in : CR CPP, 2 e éd., n. 31 à 31b ad art. 263). e) En l’espèce, s’il est vrai que, comme le soutient la recourante, le service forensique de la police a déjà procédé à des prélèvements d’ADN à l’intérieur de la voiture séquestrée, cela ne signifie pas que le séquestre probatoire pourrait être levé. En effet, des dégâts ont été constatés à l’avant droit du véhicule, dégâts dont on ne peut pas exclure, à ce stade, qu’ils aient pu être causés par un choc entre le véhicule et le piéton concerné. D.________ conteste certes que ce soit le cas, mais ses déclarations ne correspondent pas à celles de son amie, quant aux circonstances dans lesquelles ces dégâts auraient été causés : il prétend qu’ils résulteraient d’un mauvais remontage de pièces après une réparation de dégâts causés par la grêle, ce qui pourrait être établi par le dossier de l’assurance, alors qu’elle évoque le fait que la voiture aurait été endommagée par un autre véhicule sur un parking, sinistre qui n’aurait pas encore été annoncé à l’assurance. En outre, la police a constaté que le capot du véhicule avait été nettoyé tout récemment, mais pas le reste du véhicule, et les explications données par le prévenu à ce sujet ne peuvent pas convaincre, quand il prétend que cela pourrait être « dû à la cire de lavage » . Il faut ainsi admettre en l’état, d’une part, qu’il est bien possible que les dégâts constatés à l’avant du véhicule aient été causés par le choc avec le piéton et que, d’autre part, il est probable que le prévenu ait tenté d’effacer des traces sur le capot de la voiture, avant que celle-ci puisse être examinée par la police. Pour l’enquête, il est évidemment essentiel que ces circonstances soient éclaircies. Apparemment, il faudrait obtenir une partie du dossier de l’assurance du véhicule, afin de déterminer si un sinistre a été annoncé en rapport avec des dégâts à l’avant de la voiture. Ensuite, les services techniques de la police pourraient être amenés à procéder à un nouvel examen du véhicule, après qu’ils auraient pu prendre connaissance des déclarations faites par les intéressés et examiner d’éventuelles photographies conservées dans le dossier de l’assurance (ou que le prévenu, son amie ou la recourante pourraient déposer). S’agissant d’infractions d’une certaine gravité, il n’est pas exclu qu’une expertise doive être ordonnée pour déterminer si des dégâts constatés à la voiture ont pu être causés par un choc entre celle-ci et un piéton, dans les circonstances décrites par celui-ci et les témoins, et, le cas échéant, de donner une idée de la violence du choc, choc qui n’est en soi pas contesté. Des examens complémentaires ne pourront se faire que si le véhicule est, en l’état, maintenu sous séquestre : il faut forcément craindre qu’en cas de restitution du véhicule, des altérations soient apportées à celle-ci, par le prévenu ou ses proches, ou même par les hasards de la vie (collision avec un autre véhicule, par exemple). Le séquestre prive certes la recourante – ou surtout sa fille et l’ami de celle-ci – de la disposition du véhicule, mais une telle atteinte est tout à fait proportionnée à l’intérêt public à la manifestation de la vérité, s’agissant d’infractions d’une gravité non négligeable. Au moment où le Ministère public a rendu la décision entreprise, l’instruction ne faisait que commencer, puisque le procureur venait de recevoir le rapport de police ; on ne se trouve donc pas dans une situation dans laquelle il serait disproportionné de maintenir le séquestre en raison d’une inaction prolongée de l’autorité pénale. En conséquence, le séquestre doit être maintenu en l’état et le recours est mal fondé.</w:t>
      </w:r>
    </w:p>
    <w:p>
      <w:r>
        <w:rPr>
          <w:b/>
        </w:rPr>
        <w:t>E. 3</w:t>
      </w:r>
    </w:p>
    <w:p>
      <w:r>
        <w:t>Comme le recours doit être rejeté pour les motifs exposés ci-dessus, on pourrait se dispenser d’examiner encore si le séquestre se justifie aussi en vue d’une confiscation, comme le Ministère public l’a retenu. L’économie de procédure appelle toutefois à préciser ce qui suit.</w:t>
      </w:r>
    </w:p>
    <w:p>
      <w:r>
        <w:rPr>
          <w:b/>
        </w:rPr>
        <w:t>E. 3.1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l’article 263 alinéa 1 lettre d CPP, disposition selon laquelle peuvent être séquestrés les objets et les valeurs patrimoniales « lorsqu’il est probable qu’ils devront être confisqués »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La confiscation et la réalisation des véhicules automobiles ayant servi à commettre des infractions à la LCR sont régies par l’article 90a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L’introduction de l’article 90a LCR vise ainsi à réglementer la question de manière uniforme, comme demandé via quatre interventions parlementaires (Message, p. 7740 ; arrêt du TF du 05.12.2013 [1B_113/2013] cons. 3.2). Aux termes de l’article 90a al. 1 LCR,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 ARMP.2017.124 du 29.11.2017 cons. 2). Selon le texte clair de l’article 263 al. 1 let. d CPP,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 ATF 140 IV 133 cons. 3.5).</w:t>
      </w:r>
    </w:p>
    <w:p>
      <w:r>
        <w:rPr>
          <w:b/>
        </w:rPr>
        <w:t>E. 3.2</w:t>
      </w:r>
    </w:p>
    <w:p>
      <w:r>
        <w:t>En l’espèce, D.________ a admis avoir percuté A.________ au moyen du véhicule litigieux, alors que la victime se trouvait sur un trottoir, et il est soupçonné de l’avoir fait intentionnellement, pour blesser et/ou faire chuter sa victime. Un tel comportement, s’il était avéré, serait d’une gravité exceptionnelle, tant il dénote un mépris manifeste pour la vie d’autrui, d’une part, et les règles de la circulation routière, d’autre part (même si un tribunal retenait la version de l’intéressé, il devrait constater qu’après avoir heurté la jambe d’un piéton, le prévenu ne s’est pas soucié de la santé de celui-ci). Au stade de l’examen de la légitimité du séquestre, le cas d’espèce peut être qualifié à première vue d’exceptionnel. Dans cette mesure, il n’est pas d’emblée manifeste et indubitable que les conditions matérielles d’une confiscation du véhicule litigieux ne sont pas réalisées et ne pourront l’être. Il n’est en effet pas d’emblée exclu que l’infraction à l’origine de la présente procédure puisse être qualifiée de grave, au sens de la jurisprudence ci-dessus, par le magistrat appelé à statuer sur la confiscation du véhicule litigieux. Cela l’est d’autant moins que le véhicule litigieux est un SUV, soit un véhicule surélevé dont il est notoire qu’en cas d’impact de l’avant avec un piéton, ce dernier est susceptible de subir des atteintes encore plus graves, vu les organes exposés, qu’avec un véhicule plus bas, et que D.________ est un jeune conducteur (il est né en 2000), si bien qu’il ne peut se prévaloir d’un long parcours de conducteur sans histoire. Or l’épisode du 13 août 2022 laisse craindre qu’un véhicule laissé dans les mains de l’intéressé ne mettre gravement en danger la sécurité routière.</w:t>
      </w:r>
    </w:p>
    <w:p>
      <w:r>
        <w:rPr>
          <w:b/>
        </w:rPr>
        <w:t>E. 3.3</w:t>
      </w:r>
    </w:p>
    <w:p>
      <w:r>
        <w:t>Sous l’angle du principe de proportionnalité ancré à l’article 36 al. 3 Cst. féd., il est manifeste en l’espèce que la remise du véhicule litigieux à sa détentrice (qui n’intervient en réalité que comme « homme de paille » pour permettre à sa fille, B.________, de jouir du véhicule litigieux à moindres frais) n’est pas propre à garantir que D.________, soit l’ami intime de sa fille, n’utilisera plus ce véhicule à l’avenir. Premièrement, D.________ est un utilisateur régulier du véhicule litigieux, qu’il considère comme son propre véhicule et dont il paie probablement une partie des charges (essence, assurances, taxes, leasing, etc.). Deuxièmement, en sa qualité d’amie intime de D.________, B.________ sera évidemment tentée de céder aux demandes tendant à lui laisser conduire le véhicule litigieux que D.________ ne manquera pas de lui faire et c’est là un risque inacceptable, compte tenu des intérêts en jeu en termes de sécurité publique. Troisièmement, malgré d’éventuels engagement pris par la recourante et B.________ d’interdire à D.________ de conduire le véhicule litigieux, ce dernier est susceptible d’échapper à leur vigilance. C’est dire qu’aucune mesure autre que le séquestre pénal n’est apte à fournir la garantie que D.________ ne conduise à nouveau le véhicule litigieux.</w:t>
      </w:r>
    </w:p>
    <w:p>
      <w:r>
        <w:rPr>
          <w:b/>
        </w:rPr>
        <w:t>E. 4</w:t>
      </w:r>
    </w:p>
    <w:p>
      <w:r>
        <w:t>Il résulte de ce qui précède que l e recours doit être rejeté, aux frais de la recourante (art. 428 al. 1 CPP). Cette dernière, qui succombe, n’a pas droit à une indemnité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