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ARMP.2022.45 vom 1. Juli 2022</w:t>
      </w:r>
    </w:p>
    <w:p>
      <w:r>
        <w:t>NE Tribunal cantonal, 2022-07-01, FR</w:t>
      </w:r>
    </w:p>
    <w:p>
      <w:r>
        <w:rPr>
          <w:b/>
        </w:rPr>
        <w:t xml:space="preserve">Quelle: </w:t>
      </w:r>
      <w:r>
        <w:t>https://mcp.opencaselaw.ch/entscheid/ne_gerichte_ARMP.2022.45</w:t>
      </w:r>
    </w:p>
    <w:p>
      <w:r>
        <w:t>FR: NE_GERICHTE ARMP.2022.45 du 1 juillet 2022</w:t>
      </w:r>
    </w:p>
    <w:p>
      <w:r>
        <w:t>IT: NE_GERICHTE ARMP.2022.45 del 1 luglio 2022</w:t>
      </w:r>
    </w:p>
    <w:p>
      <w:pPr>
        <w:pStyle w:val="Heading2"/>
      </w:pPr>
      <w:r>
        <w:t>Erwägungen</w:t>
      </w:r>
    </w:p>
    <w:p>
      <w:r>
        <w:rPr>
          <w:b/>
        </w:rPr>
        <w:t>E. 7</w:t>
      </w:r>
    </w:p>
    <w:p>
      <w:r>
        <w:t>juin 2022, le Ministère public conclut au rejet du recours et précise que linstruction contre Y.________ navait pas été étendue à lescroquerie, au motif que leséléments du dossier ne permettaient pas de considérer quele prénommépourrait avoiragi comme auteur decette infraction, si bien quil navait pas étésollicité des autoritészurichoises «qu'elles reprennent égalementl'infraction d'escroquerie» ; que «les faits d'escroquerie rest[ai]ent de la compétence du Ministère public du canton deNeuchâtel, en application de l'article 31 al. 1 CPP, l'infraction ayant été[a]priori commise àl'étranger et la victime domiciliée dans le canton de Neuchâtel» ; que «sur la basedes éléments du dossier et de l'expérience de ce type d'infraction»,il pouvait «êtreraisonnablement considéré que le ou les auteurs de l'escroquerie ne sont pas situés enSuisse, mais à l'étranger» ; que lobtention des données relevantes du titulaire du compte «A.________» supposait unedemande d'entraideaux États-Unis,soit une démarche coûteuse et ayantpeu de chances d'aboutir à un résultat.</w:t>
      </w:r>
    </w:p>
    <w:p>
      <w:r>
        <w:t>Le recourant na pas répliqué dans le délai imparti.</w:t>
      </w:r>
    </w:p>
    <w:p>
      <w:r>
        <w:t>C O N S I D E R A N T</w:t>
      </w:r>
    </w:p>
    <w:p>
      <w:r>
        <w:t>1.Le recourant agit sans mandataire, si bien quon ne saurait se montrer trop exigeant sur la forme du mémoire de recours. En lespèce, malgré labsence de conclusions formelles, X.________ exprime clairement sa volonté de recourir et on comprend quels sont ses griefs. Formé dans le délai utile, le recours est recevable (art. 396 al. 1 CPP).</w:t>
      </w:r>
    </w:p>
    <w:p>
      <w:r>
        <w:t>2.Conformément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du01.04.2021 [6B_1058/2020]cons. 2.1).Lappréciation juridique des faits doit être effectuée sur la base dun état de fait établi, soit sur la base de faits clairs (arrêt du TF du09.09.2019 [6B_127/2019]cons. 4.1.2 non publié auxATF 145 IV 462).</w:t>
      </w:r>
    </w:p>
    <w:p>
      <w:r>
        <w:t>3.En lespèce, la décision querellée ne se base pas sur des faits clairs, mais sur de simples suppositions émises par le Ministère public. Sur la base du dossier remis à lautorité de céans, rien ne permet dexclure, comme la fait le Ministère public, que Y.________ puisse être lauteur de lannonce publiée par «A.________» ou sêtre pleinement associé à la volonté dun tiers auteur de cette annonce, en vue de tromper celui ou celle qui y donnerait suite en versant le prix demandé pour la tablette. Le Ministère public ne pouvait donc pas prononcer une non-entrée en matière en faveur de Y.________ en rapport avec lescroquerie, à mesure quil nest pas exclu, en létat du dossier, que lintéressé ait pu commettre cette escroquerie (comme auteur ou coauteur) ou y avoir participé (comme complice ou instigateur). Lannulation de lordonnance querellée se justifie dautant plus que le Ministère public nétait matériellement pas compétent pour la prononcer, puisque Y.________ était mineur au moment des faits (cf. art. 10 al. 1 PPMin), dune part, et quelle pourrait faire obstacle (en vertu du principene bis in idem) à la condamnation de Y.________ pour escroquerie par les autorités zurichoises, dautre part.</w:t>
      </w:r>
    </w:p>
    <w:p>
      <w:r>
        <w:t>4.Lannulation de lordonnance querellée se justifie encore sous un autre angle. En effet, si on peut donner acte au Ministère public quune demande dentraide aux États-Unisconstituerait une mesure disproportionnée, vu son coût (not. traductions) et les forces de travail monopolisées tant du côté de lÉtat requérant que de celui de lÉtat requis, en comparaison du montant du dommage, dune part, et vu les maigres chances quune telle demande aboutisse à lidentification de la personne ayant publié lannonce litigieuse, dautre part, il nen demeure pas moins que dautres mesures peuvent  et doivent, vu ce qui a été dit plus haut (cons. 2) et vu le caractère impératif de la poursuite ancré à larticle 7 al. 1 CPP  être entreprises dans ce but, avant denvisager le prononcé dune non-entrée en matière.</w:t>
      </w:r>
    </w:p>
    <w:p>
      <w:r>
        <w:t>En premier lieu, Y.________ est susceptible de donner des renseignements à ce sujet. Le Ministère public ne la pas interrogé sur ce quil savait de «A.________», de lannonce litigieuse, des raisons pour lesquelles le plaignant avait versé 350 francs sur son compte le 14 mars 2022, ni sur ce quil avait fait de cet argent et, le cas échéant, sur les discussions et accords quil avait eus avec un ou des tiers au sujet de cette affaire, notamment sur comment il en était venu à mettre son compte à disposition. De même, aucun procès-verbal de linterrogatoire de Y.________ par les autorités zurichoises ne figure au dossier. Linterrogatoire de Y.________ est donc une mesure simple et propre à fournir des éléments pertinents pour tâcher didentifier lauteur de lescroquerie. Une non-entrée en matière ne pouvait pas intervenir sans que Y.________ ait été interrogé sur les points cités plus haut. À cet égard, il est troublant que Y.________ ait ouvert un compte TWINT le 14 mars 2022, soit précisément le jour où X.________ lui a versé 350 francs via TWINT.</w:t>
      </w:r>
    </w:p>
    <w:p>
      <w:r>
        <w:t>En second lieu, les 350 francs litigieux ont été versés le 14 mars 2022 via TWINT sur le compte IBAN CHXXXXXXXXXXXXXXXXXX ouvert au nom de Y.________ dans les livres de la succursale de la banque B.________ à Z.________, et il ressort du décompte bancaire que le même montant a été transféré le même jour, toujours via TWINT. À première vue, on ne peut pas exclure que TWINT AG et/ou la banque B.________ puissent être en mesure de donner des informations (un numéro de téléphone ou un numéro de compte bancaire) sur la destination de ce transfert, informations qui constitueraient une étape vers lidentification de lauteur de la potentielle escroquerie, voire vers le prononcé dun séquestre, notamment en vue de garantir le paiement dune créance compensatrice. Une non-entrée en matière pouvait dautant moins intervenir sans que des questions complémentaires aient été posées à TWINT AG et à la banque B.________ quil ressort de la documentation bancaire que le même mode opératoire suspect a été utilisé à encore trois reprises (le 14 mars 2022, D.________ a ainsi versé 350 francs via TWINT sur le compte IBAN CHXXXXXXXXXXXXXXXXXX et le même montant a été retransféré le même jour ; le 18 mars 2022, E.________ a versé 250 francs et le même montant a été retransféré le 25 mars 2022 ; le 21 mars 2022, F.________ a versé 369 francs et le même montant a été retransféré le 25 mars 2022) et que, vu les soupçons pensant sur Y.________ du fait de la plainte du recourant, on peut aussi sinterroger sur la cause dautres transactions (notamment les versements de 200 francs par G.________ le 7 mars 2022, 150 francs par H.________ le 9 mars 2022 et 200 francs par I.________ le même 9 mars 2022).</w:t>
      </w:r>
    </w:p>
    <w:p>
      <w:r>
        <w:t>Il sera sans doute utile que le Ministère public contacte préalablement lautorité zurichoise en charge de la procédure contre Y.________, autorité qui pourrait déjà avoir obtenu des renseignements utiles, par exemple par un interrogatoire de lintéressé.</w:t>
      </w:r>
    </w:p>
    <w:p>
      <w:r>
        <w:t>5.Vu ce qui précède, le recours doit être admis, lordonnance querellée annulée et la cause renvoyée au Ministère public pour suite utile dans le sens des considérants. Les frais doivent être laissés à la charge de lÉtat (art. 423 et 428 al. 4 CPC). Le recourant na droit à aucune indemnité, vu quil a agi seul et vu le caractère sommaire et peu onéreux des démarches entreprises. Il nen réclame dailleurs pas.</w:t>
      </w:r>
    </w:p>
    <w:p>
      <w:r>
        <w:t>Par ces motifs,l'Autorité de recours en matière pénale</w:t>
      </w:r>
    </w:p>
    <w:p>
      <w:r>
        <w:t>1.Admet le recours.</w:t>
      </w:r>
    </w:p>
    <w:p>
      <w:r>
        <w:t>2.Annule lordonnance querellée et renvoie la cause au Ministère public pour suite utile dans le sens des considérants.</w:t>
      </w:r>
    </w:p>
    <w:p>
      <w:r>
        <w:t>3.Dit que les frais sont à la charge de lÉtat.</w:t>
      </w:r>
    </w:p>
    <w:p>
      <w:r>
        <w:t>4.Statue sans indemnité.</w:t>
      </w:r>
    </w:p>
    <w:p>
      <w:r>
        <w:t>5.Notifie le présent arrêt à X.________, et au Ministère public, à La Chaux-de-Fonds (MP.2022.1478)</w:t>
      </w:r>
    </w:p>
    <w:p>
      <w:r>
        <w:t>Neuchâtel, le 1erjuillet 2022</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