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ARMP.2021.87 vom 11. April 2021</w:t>
      </w:r>
    </w:p>
    <w:p>
      <w:r>
        <w:t>NE Tribunal cantonal, 2021-04-11, FR</w:t>
      </w:r>
    </w:p>
    <w:p>
      <w:r>
        <w:rPr>
          <w:b/>
        </w:rPr>
        <w:t xml:space="preserve">Quelle: </w:t>
      </w:r>
      <w:r>
        <w:t>https://mcp.opencaselaw.ch/entscheid/ne_gerichte_ARMP.2021.87_d20210411</w:t>
      </w:r>
    </w:p>
    <w:p>
      <w:r>
        <w:t>FR: NE_GERICHTE ARMP.2021.87 du 11 avril 2021</w:t>
      </w:r>
    </w:p>
    <w:p>
      <w:r>
        <w:t>IT: NE_GERICHTE ARMP.2021.87 del 11 aprile 2021</w:t>
      </w:r>
    </w:p>
    <w:p>
      <w:pPr>
        <w:pStyle w:val="Heading2"/>
      </w:pPr>
      <w:r>
        <w:t>Regeste</w:t>
      </w:r>
    </w:p>
    <w:p>
      <w:r>
        <w:t>Interdiction d’une double représentation en raison d’un conflit d’intérêts.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doit dès lors être rejeté. Les frais de la procédure de recours seront mis à la charge du recourant, qui succombe (art. 428 al. 1 CPP et 42 LTFrais). Le recourant n’a pas droit à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