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ARMP.2021.60 vom 6. Juli 2021</w:t>
      </w:r>
    </w:p>
    <w:p>
      <w:r>
        <w:t>NE Tribunal cantonal, 2021-07-06, FR</w:t>
      </w:r>
    </w:p>
    <w:p>
      <w:r>
        <w:rPr>
          <w:b/>
        </w:rPr>
        <w:t xml:space="preserve">Quelle: </w:t>
      </w:r>
      <w:r>
        <w:t>https://mcp.opencaselaw.ch/entscheid/ne_gerichte_ARMP.2021.60</w:t>
      </w:r>
    </w:p>
    <w:p>
      <w:r>
        <w:t>FR: NE_GERICHTE ARMP.2021.60 du 6 juillet 2021</w:t>
      </w:r>
    </w:p>
    <w:p>
      <w:r>
        <w:t>IT: NE_GERICHTE ARMP.2021.60 del 6 luglio 2021</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Conformément à l'article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w:t>
      </w:r>
    </w:p>
    <w:p>
      <w:r>
        <w:rPr>
          <w:b/>
        </w:rPr>
        <w:t>E. 5</w:t>
      </w:r>
    </w:p>
    <w:p>
      <w:r>
        <w:t>Enfin, et par surabondance, on précisera que dans ce type d’affaire (maraboutisme), même à supposer que les éléments constitutifs de l’article 146 CP – et des articles 180 et 181 CP – ne soient pas réunis, l’infraction d’usure (art. 157 CP) peut également entrer en ligne de compte. Selon l’article 157 ch. 1 CP ,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À cet égard, le Tribunal fédéral a déjà confirmé la condamnation pénale d’un auteur pour cette infraction-là, dans une affaire où ce dernier avait usé d’un stratagème analogue à celui qui nous occupe ici (arrêt du TF du 14.11.2007 [6B_395/2007 ]).</w:t>
      </w:r>
    </w:p>
    <w:p>
      <w:r>
        <w:rPr>
          <w:b/>
        </w:rPr>
        <w:t>E. 6</w:t>
      </w:r>
    </w:p>
    <w:p>
      <w:r>
        <w:t>Vu l’ensemble de ce qui précède, le recours doit être admis, l’ordonnance querellée annulée et la cause renvoyée au Ministère public, pour suite de la procédure. Cette autorité devra notamment entendre le recourant – sur son état psychique en avril 2021, sur le type d’informations personnelles données par le recourant à Y.________, sur la nature des informations que le recourant craignait que Y.________ divulgue à A.________, sur le mal que le recourant craignait que Y.________ ne lui fasse ou ne fasse à A.________, sur le contenu des conversations non écrites entre le recourant et Y.________ –, ainsi qu’identifier et interroger Y.________, de même que prendre toute autre mesure qu’il jugera utile.</w:t>
      </w:r>
    </w:p>
    <w:p>
      <w:r>
        <w:rPr>
          <w:b/>
        </w:rPr>
        <w:t>E. 7</w:t>
      </w:r>
    </w:p>
    <w:p>
      <w:r>
        <w:t>Vu le sort de la cause, les frais du présent arrêt seront laissés à la charge de l’État (art. 428 al. 4 CPP). Bien que représenté par un mandataire professionnel, le recourant n’a pas chiffré ni justifié ses prétentions, si bien qu’il ne lui sera alloué aucune indemnité (art. 433 al. 2 CPP ; arrêt du TF du 30.11.2017 [6B_1345/2016 et  [6B_1354/2016] cons.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