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ARMP.2021.134 vom 20. Dezember 2021</w:t>
      </w:r>
    </w:p>
    <w:p>
      <w:r>
        <w:t>NE Tribunal cantonal, 2021-12-20, FR</w:t>
      </w:r>
    </w:p>
    <w:p>
      <w:r>
        <w:rPr>
          <w:b/>
        </w:rPr>
        <w:t xml:space="preserve">Quelle: </w:t>
      </w:r>
      <w:r>
        <w:t>https://mcp.opencaselaw.ch/entscheid/ne_gerichte_ARMP.2021.134</w:t>
      </w:r>
    </w:p>
    <w:p>
      <w:r>
        <w:t>FR: NE_GERICHTE ARMP.2021.134 du 20 décembre 2021</w:t>
      </w:r>
    </w:p>
    <w:p>
      <w:r>
        <w:t>IT: NE_GERICHTE ARMP.2021.134 del 20 dicembre 2021</w:t>
      </w:r>
    </w:p>
    <w:p>
      <w:pPr>
        <w:pStyle w:val="Heading2"/>
      </w:pPr>
      <w:r>
        <w:t>Erwägungen</w:t>
      </w:r>
    </w:p>
    <w:p>
      <w:r>
        <w:rPr>
          <w:b/>
        </w:rPr>
        <w:t>E. 26</w:t>
      </w:r>
    </w:p>
    <w:p>
      <w:r>
        <w:t>août 2021 déjà. Les multiples requêtes des parties, dont on trouve plus haut un reflet partiel, ne facilitent pas non plus le travail de la direction de la procédure. Le président du Tribunal criminel fait de son mieux pour concilier les intérêts des uns et des autres, dans le respect des règles de procédure, et son comportement ne trahit en aucune manière une prévention contre les requérants, respectivement contre le mandataire du prévenu D.________. Soutenir quil ferait preuve dun« acharnement »contre les prévenus est non seulement excessif, mais tout à fait déplacé. Un examen objectif du dossier et des circonstances amène ainsi à la conclusion quaucune circonstance objective namène à concevoir un doute quantlimpartialité du juge visé par les requêtes en récusation.</w:t>
      </w:r>
    </w:p>
    <w:p>
      <w:r>
        <w:t>4.Vu ce qui précède, les demandes de récusation doivent être rejetées, frais à la charge des requérants, qui succombent et nont en outre pas droit à des indemnités.</w:t>
      </w:r>
    </w:p>
    <w:p>
      <w:r>
        <w:t>Par ces motifs,l'Autorité de recours en matière pénale</w:t>
      </w:r>
    </w:p>
    <w:p>
      <w:r>
        <w:t>1.Rejette les requêtes.</w:t>
      </w:r>
    </w:p>
    <w:p>
      <w:r>
        <w:t>2.Arrête les frais de la procédure à 1'600 francs et les met pour 800 francs à la charge de D.________ et 800 francs à celle de B.________.</w:t>
      </w:r>
    </w:p>
    <w:p>
      <w:r>
        <w:t>3.Dit quil ny a pas lieu à allocation dindemnités.</w:t>
      </w:r>
    </w:p>
    <w:p>
      <w:r>
        <w:t>4.Notifie le présent arrêt à D.________, par Me Y.________, à B.________, par Me C.________, au Ministère public, à La Chaux-de-Fonds (MP.2014.828-MPNE), et au juge X.________, au Tribunal criminel des Montagnes et du Val-de-Ruz, à La Chaux-de-Fonds (CRIM.2020.27).</w:t>
      </w:r>
    </w:p>
    <w:p>
      <w:r>
        <w:t>Neuchâtel, le 20 décembre 2021</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