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ARMP.2021.132 vom 16. Dezember 2021</w:t>
      </w:r>
    </w:p>
    <w:p>
      <w:r>
        <w:t>NE Tribunal cantonal, 2021-12-16, FR</w:t>
      </w:r>
    </w:p>
    <w:p>
      <w:r>
        <w:rPr>
          <w:b/>
        </w:rPr>
        <w:t xml:space="preserve">Quelle: </w:t>
      </w:r>
      <w:r>
        <w:t>https://mcp.opencaselaw.ch/entscheid/ne_gerichte_ARMP.2021.132</w:t>
      </w:r>
    </w:p>
    <w:p>
      <w:r>
        <w:t>FR: NE_GERICHTE ARMP.2021.132 du 16 décembre 2021</w:t>
      </w:r>
    </w:p>
    <w:p>
      <w:r>
        <w:t>IT: NE_GERICHTE ARMP.2021.132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si le prévenu, malgré linvitation de la direction de la procédure, ne désigne pas de défenseur privé,</w:t>
      </w:r>
    </w:p>
    <w:p>
      <w:r>
        <w:rPr>
          <w:b/>
        </w:rPr>
        <w:t>E. 2</w:t>
      </w:r>
    </w:p>
    <w:p>
      <w:r>
        <w:t>si le mandat est retiré au défenseur privé ou que celui-ci a décliné le mandat et que le prévenu na pas désigné un nouveau défenseur dans le délai imparti;</w:t>
      </w:r>
    </w:p>
    <w:p>
      <w:r>
        <w:t>b. si le prévenu ne dispose pas des moyens nécessaires et que lassistance dun défenseur est justifiée pour sauvegarder ses intérêts.</w:t>
      </w:r>
    </w:p>
    <w:p>
      <w:r>
        <w:t>2La défense doffice aux fins de protéger les intérêts du prévenu se justifie notamment lorsque laffaire nest pas de peu de gravité et quelle présente, sur le plan des faits ou du droit, des difficultés que le prévenu seul ne pourrait pas surmonter.</w:t>
      </w:r>
    </w:p>
    <w:p>
      <w:r>
        <w:t>3En tout état de cause, une affaire nest pas de peu de gravité lorsque le prévenu est passible dune peine privative de liberté de plus de quatre mois ou dune peine pécuniaire de plus de 120 jours-amende.43</w:t>
      </w:r>
    </w:p>
    <w:p>
      <w:r>
        <w:t>43Nouvelle teneur selon lannexe ch. 3 de la LF du 19 juin 2015 (Réforme du droit des sanctions), en vigueur depuis le 1erjanv. 2018 (RO20161249;FF20124385).</w:t>
      </w:r>
    </w:p>
    <w:p>
      <w:r>
        <w:rPr>
          <w:b/>
        </w:rPr>
        <w:t>E. 4</w:t>
      </w:r>
    </w:p>
    <w:p>
      <w:r>
        <w:t>Pour les raisons déjà mentionnées plus haut, la recourante n’a pas droit à l’assistance judiciaire dans la procédure de recours.</w:t>
      </w:r>
    </w:p>
    <w:p>
      <w:r>
        <w:rPr>
          <w:b/>
        </w:rPr>
        <w:t>E. 5</w:t>
      </w:r>
    </w:p>
    <w:p>
      <w:r>
        <w:t>Vu l’ensemble de ce qui précède, le recours doit être rejeté, aux frais de son auteure, qui n’a partant droit à aucune indemnité (art. 422, 424 et 428 al. 1 CPP ; art. 42 de la loi du 6 novembre 2019 fixant le tarif des frais, des émoluments de chancellerie et des dépens en matière civile, pénale et administrative [ LTFrais , RSN 164.1]).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