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ARMP.2021.101 vom 23. September 2021</w:t>
      </w:r>
    </w:p>
    <w:p>
      <w:r>
        <w:t>NE Tribunal cantonal, 2021-09-23, FR</w:t>
      </w:r>
    </w:p>
    <w:p>
      <w:r>
        <w:rPr>
          <w:b/>
        </w:rPr>
        <w:t xml:space="preserve">Quelle: </w:t>
      </w:r>
      <w:r>
        <w:t>https://mcp.opencaselaw.ch/entscheid/ne_gerichte_ARMP.2021.101</w:t>
      </w:r>
    </w:p>
    <w:p>
      <w:r>
        <w:t>FR: NE_GERICHTE ARMP.2021.101 du 23 septembre 2021</w:t>
      </w:r>
    </w:p>
    <w:p>
      <w:r>
        <w:t>IT: NE_GERICHTE ARMP.2021.101 del 23 settembre 2021</w:t>
      </w:r>
    </w:p>
    <w:p>
      <w:pPr>
        <w:pStyle w:val="Heading2"/>
      </w:pPr>
      <w:r>
        <w:t>Erwägungen</w:t>
      </w:r>
    </w:p>
    <w:p>
      <w:r>
        <w:rPr>
          <w:b/>
        </w:rPr>
        <w:t>E. 1</w:t>
      </w:r>
    </w:p>
    <w:p>
      <w:r>
        <w:t>Interjeté dans le délai de 10 jours dès la réception de la décision attaquée, par une personne ayant qualité pour recourir et dans les formes prévues par la loi, le recours est recevable (art. 382, 393 et 396 CPP).</w:t>
      </w:r>
    </w:p>
    <w:p>
      <w:r>
        <w:rPr>
          <w:b/>
        </w:rPr>
        <w:t>E. 2</w:t>
      </w:r>
    </w:p>
    <w:p>
      <w:r>
        <w:t>Le recours portant exclusivement sur une conséquence économique accessoire de la décision entreprise, soit le refus d’accorder à la prévenue une indemnité sur la base de l’article 429 al. 1 let. a CPP , dont le montant litigieux n’excède pas 5'000 francs, l’article 395 let. b CPP prévoit que la direction de la procédure statue seule sur le recours. Cette disposition vise uniquement à alléger la tâche de l'autorité de recours (arrêt du TF du 18.04.2016 [6B_177/2016] cons. 4), en soustrayant les affaires « de peu d’importance » à l’examen du plenum de la juridiction ( Sträuli , in : CR CPP, 2 e éd., n. 2 ad art. 395 et les références citées). La pratique constante du Tribunal cantonal consiste toutefois à faire trancher ces litiges également par trois juges, conformément à la règle ancrée à l’article 37 al. 1 ( cum 34 let. c) de la loi d’organisation judiciaire neuchâteloise ( OJN , RSN 161.1 ; cf. RJN 2020 p. 473 cons. 2). Cette manière de procéder concrétise l’adage selon lequel « qui peut le plus peut le moins » ; elle a été validée par le Tribunal fédéral (arrêt du 18.04.2016 déjà cité, cons. 4).</w:t>
      </w:r>
    </w:p>
    <w:p>
      <w:r>
        <w:rPr>
          <w:b/>
        </w:rPr>
        <w:t>E. 3</w:t>
      </w:r>
    </w:p>
    <w:p>
      <w:r>
        <w:t>L’autorité de recours en matière pénale jouit d’un plein pouvoir d’examen en fait, en droit et en opportunité (art. 393 CPP), sans être liée par les motifs invoqués par les parties ni par les conclusions de celles-ci (art. 391 CPP).</w:t>
      </w:r>
    </w:p>
    <w:p>
      <w:r>
        <w:rPr>
          <w:b/>
        </w:rPr>
        <w:t>E. 4</w:t>
      </w:r>
    </w:p>
    <w:p>
      <w:r>
        <w:t>a) Selon l’article 429 al. 1 let. a CPP , si le prévenu est acquitté totalement ou en partie ou s'il bénéficie d'une ordonnance de classement, il a droit à une indemnité pour les dépenses occasionnées par l'exercice raisonnable de ses droits de procédure. Cette disposition a pour objectif de protéger les intérêts d’une personne accusée à tort par l’État, qui se trouve mêlée contre sa volonté à une procédure pénale ( ATF 138 IV 197 cons. 2.3.5). b) La question de l'indemnisation du prévenu (art. 429 CPP) doit être traitée en relation avec celle des frais (art. 426 CPP). Si le prévenu supporte les frais en application de l'article 426 al. 1 ou 2 CPP, une indemnité est en règle générale exclue. En revanche, si l'État supporte les frais de la procédure pénale, le prévenu a en principe droit à une indemnité selon l'article 429 CPP (arrêt du TF du 19.05.2020 [6B_1406/2019] cons. 2.1). c)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 ATF 142 IV 45 cons. 2.1 p. 47 ; arrêt du TF du 27.01.2020 [6B_1272/2019] cons. 3.1). Dans un arrêt récent, l’Autorité de recours en matière pénale a cependant déduit de la jurisprudence fédérale qu’en matière de contraventions, le droit à une indemnisation au sens de l’article 429 al. 1 let. a CPP est ouvert de manière systématique au prévenu mis au bénéfice d’un classement, s’il a été condamné par ordonnance pénale sans avoir eu préalablement l’occasion de s’exprimer ( RJN 2020 p. 473 , qui se réfère à l’ ATF 142 IV 45 cons. 2.2). d) Selon une jurisprudence rendue en matière administrative, un curateur avocat intervenant en justice pour le compte de son pupille indigent peut, s’il obtient gain de cause, obtenir des dépens ( RJN 2019 p. 655 ). Cette solution est assez logique et doit aussi s’appliquer en procédure pénale. En effet, le but de l’article 429 CPP est que le justiciable accusé à tort puisse être indemnisé pour ses frais de défense, soit n’ait pas à les assumer lui-même. Si l’on considérait que le curateur avocat doit être rémunéré par l’APEA, la conséquence serait que le pupille devrait assumer ses honoraires, comme toute autre rémunération du curateur (art. 31f LAPEA ), cette rémunération n’étant prise en charge par l’État qu’en cas d’indigence de la personne concernée (art. 31g LAPEA ). Rien ne justifierait qu’une personne accusée à tort et qui bénéficie d’un classement doive finalement assumer ses frais de défense par ce biais, pour le seul motif que son avocat est aussi son curateur.</w:t>
      </w:r>
    </w:p>
    <w:p>
      <w:r>
        <w:rPr>
          <w:b/>
        </w:rPr>
        <w:t>E. 5</w:t>
      </w:r>
    </w:p>
    <w:p>
      <w:r>
        <w:t>a) En l’espèce, il faut d’abord retenir qu’il n’est pas établi que l’avis de dénonciation du 25 janvier 2021 serait parvenu à la connaissance de la recourante. L’avis n’indique pas qu’il aurait été envoyé par un autre moyen qu’un pli simple et le dossier ne contient aucun indice qu’il aurait été reçu. Comme le relève la recourante, un envoi sous pli simple ne permet pas de déduire une réception par simple référence aux délais usuels d’acheminement, l’autorité supporte le fardeau de la preuve de la notification et, en cas de doute, il faut se fonder sur les déclarations du destinataire de l’envoi (cf. notamment ATF 142 IV 125 cons. 4.3 et 4.4). Il faut dès lors considérer que la recourante n’a pas eu la possibilité de s’exprimer avant que l’ordonnance pénale soit rendue. La recourante a bénéficié d’un classement et a ainsi été libérée des charges pesant contre elle, les frais étant laissés à la charge de l’État. Elle a ainsi, sur le principe, droit à une indemnité pour les dépenses occasionnées par l’exercice raisonnable de ses droits de procédure, au sens de l’article 429 al. 1 let. a CPP , indemnité équivalant aux honoraires raisonnables de son avocat, même si celui-ci est aussi son curateur. b) Quant au montant de l’indemnité due, il faut constater que les honoraires réclamés, soit 404.95 francs, sont certes modestes, mais auraient pu et dû l’être encore plus. À réception de l’ordonnance pénale, la recourante pouvait constater qu’on lui reprochait une infraction commise au moyen de la voiture immatriculée NE [.....], soit celle de sa mère (comme le véhicule lui était prêté de temps en temps, elle devait connaître le numéro des plaques). S’agissant d’une infraction bagatelle, il aurait été raisonnable que le curateur invite la recourante à contacter sa mère – ou téléphone lui-même à la mère – pour déterminer avec elle qui avait parqué la voiture sur une place privée le jour des faits, le curateur pouvant rappeler à l’une et à l’autre, le cas échéant, la substance de l’article 7 al. 5 LAO ( « Si l’identité de la personne qui a commis l’infraction ne peut être établie sans efforts disproportionnés, le détenteur du véhicule obtient un délai de 30 jours pour payer l’amende, sauf s’il peut faire valoir de manière convaincante dans la procédure pénale ordinaire que son véhicule a été utilisé indépendamment de sa volonté et qu’il avait pris toutes les mesures de diligence nécessaires pour l’empêcher » ). À titre conservatoire, une opposition en quelques lignes pouvait être adressée au Ministère public. Ensuite, le curateur aurait pu informer la procureure assistante de l’identité de la personne responsable de l’infraction – ou au moins de celle qui, tout bien considéré, acceptait de payer l’amende – et la procédure aurait pu se liquider sans qu’une confrontation soit nécessaire. Les démarches raisonnables d’un avocat pouvaient donc se limiter à peu de choses, pour arriver au même résultat. L’indemnité pour l’exercice raisonnable des droits de procédure par la recourante doit tenir compte de ces facteurs, en tant qu’elle ne vise, précisément, qu’à couvrir des dépenses raisonnables. Les justiciables ont certes le droit d’user des voies légales à leur disposition, plutôt que de s’arranger en famille, mais cela ne signifie pas qu’ils peuvent exiger de l’État qu’il les indemnise pour des activités de leur mandataire qui n'étaient pas véritablement nécessaires à une solution équitable du litige. L’indemnité sera dès lors fixée à 200 francs, tout compris.</w:t>
      </w:r>
    </w:p>
    <w:p>
      <w:r>
        <w:rPr>
          <w:b/>
        </w:rPr>
        <w:t>E. 6</w:t>
      </w:r>
    </w:p>
    <w:p>
      <w:r>
        <w:t>Il résulte de ce qui précède que le recours doit être partiellement admis. Le chiffre 3 du dispositif de l’ordonnance entreprise doit être annulé et une indemnité de 200 francs allouée à la recourante pour la procédure devant le Ministère public. Vu le sort de la procédure de recours, les frais de celle-ci, arrêtés à 300 francs, seront mis pour moitié à la charge de la recourante et laissés pour l’autre moitié à la charge de l’État. La recourante a droit à une indemnité pour cette procédure. Elle sera fixée à 250 francs, la recourante n’obtenant pas entièrement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