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ARMP.2020.182 vom 17. August 2020</w:t>
      </w:r>
    </w:p>
    <w:p>
      <w:r>
        <w:t>NE Tribunal cantonal, 2020-08-17, FR</w:t>
      </w:r>
    </w:p>
    <w:p>
      <w:r>
        <w:rPr>
          <w:b/>
        </w:rPr>
        <w:t xml:space="preserve">Quelle: </w:t>
      </w:r>
      <w:r>
        <w:t>https://mcp.opencaselaw.ch/entscheid/ne_gerichte_ARMP.2020.182_d20200817</w:t>
      </w:r>
    </w:p>
    <w:p>
      <w:r>
        <w:t>FR: NE_GERICHTE ARMP.2020.182 du 17 août 2020</w:t>
      </w:r>
    </w:p>
    <w:p>
      <w:r>
        <w:t>IT: NE_GERICHTE ARMP.2020.182 del 17 agosto 2020</w:t>
      </w:r>
    </w:p>
    <w:p>
      <w:pPr>
        <w:pStyle w:val="Heading2"/>
      </w:pPr>
      <w:r>
        <w:t>Regeste</w:t>
      </w:r>
    </w:p>
    <w:p>
      <w:r>
        <w:t>Conflit d’intérêts potentiel de l’avocat d’une partie à la procédure.</w:t>
      </w:r>
    </w:p>
    <w:p>
      <w:pPr>
        <w:pStyle w:val="Heading2"/>
      </w:pPr>
      <w:r>
        <w:t>Erwägungen</w:t>
      </w:r>
    </w:p>
    <w:p>
      <w:r>
        <w:rPr>
          <w:b/>
        </w:rPr>
        <w:t>E. 23</w:t>
      </w:r>
    </w:p>
    <w:p>
      <w:r>
        <w:t>juin 2000 sur la libre circulation des avocats (LLCA, RS 935.61) énonce les règles professionnelles auxquelles l'avocat est soumis. Selon l'article12 let. a LLCA, il doit exercer sa profession avec soin et diligence. L'article12 let. a LLCAconstitue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473cons. 4.1 ;130 II 270cons. 3.2 ; arrêt du TF du08.01.2020 [2C_307/2019]cons. 7.1).</w:t>
      </w:r>
    </w:p>
    <w:p>
      <w:r>
        <w:t>L'article12 let. b LLCAprévoit notamment que l'avocat exerce son activité professionnelle en toute indépendance. L'indépendance est un principe essentiel de la profession d'avocat (ATF 123 I 193cons.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du21.07.2009 [2C_889/2008]cons. 3 ; du09.03.2004 [2A.293/2003]cons. 4.2).</w:t>
      </w:r>
    </w:p>
    <w:p>
      <w:r>
        <w:t>L'article12 let. c LLCAprescrit à l'avocat d'éviter tout conflit entre les intérêts de son client et ceux des personnes avec lesquelles il est en relation sur le plan professionnel ou privé. Même si cette disposition ne le mentionne pas expressément, cette règle vise également, eta fortiori, les conflits entre les intérêts du client et de l'avocat lui-même ; aussi, selon la doctrine et la jurisprudence, un avocat ne doit-il clairement pas accepter un mandat, respectivement, dans le cas où il l'a accepté, doit-il se dessaisir d'un mandat quand les intérêts du client entrent en collision avec ses propres intérêts (Fellmann, Anwaltsrecht, 2eéd., n. 361 s., p. 158 ss et les réf. citées). Ainsi, par exemple, en cas de conflit personnel d'une certaine importance avec un confrère qu'il sait assister la partie adverse, un avocat ne doit-il pas accepter le mandat, dès lors qu'il sait qu'il ne pourra pas le remplir avec toute l'indépendance requise (ibid., n. 363, p. 160). Cette règle est en lien avec la clause générale de l'article12 let. a LLCAprécité, de même qu'avec l'obligation d'indépendance rappelée à l'article12 let. b LLCA(ATF 141 IV 257cons. 2.1 ;134 II 108cons. 3 ; arrêt du TF du14.03.2019 [1B_510/2018]cons. 2.1).</w:t>
      </w:r>
    </w:p>
    <w:p>
      <w:r>
        <w:t>c)Les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257cons. 2.1).</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du TF du31.05.2018 [1B_59/2018]cons. 2.4 ; du23.02.2017 [1B_20/2017]cons. 3.1). Dès que le conflit d'intérêts survient, l'avocat doit mettre fin à la représentation (ATF 135 II 145cons. 9.1 ;134 II 108cons. 4.2.1).Celui qui, en violation des obligations énoncées à l'article12 LLCA, accepte ou poursuit la défense alors qu'il existe un tel risque de conflit doit se voir dénier par l'autorité la capacité de postuler. L'interdiction de plaider est, en effet, la conséquence logique du constat de l'existence d'un tel conflit (arrêt du TF du18.03.2003 [1A.223/2002]cons. 5.5).</w:t>
      </w:r>
    </w:p>
    <w:p>
      <w:r>
        <w:t>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excluta fortiorique l'avocat procède contre un client actuel (ATF 145 IV 218cons. 2.1 ;134 II 108cons. 5.2). Il y a notamment violation de l'article12 let. c LLCAlorsqu'il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108cons.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du TF du30.01.2019 [2C_898/2018]cons. 5.2 ; du23.02.2017 [1B_20/2017]cons. 3.1).</w:t>
      </w:r>
    </w:p>
    <w:p>
      <w:r>
        <w:t>3.En lespèce, on ne comprend guère les références faites par le Ministère public, dans la décision querellée, aux propos quauraient tenus les plaignants lors de leur audition de police, ainsi quà une éventuelle confirmation future de ces propos devant le Ministère public. En effet, la volonté de A.Y.________ et B.Y.________ de déposer plainte pénale (notamment) contre Me D.________ et contre C.________ ressort clairement de leur écrit du 20 octobre 2020, tout comme lobjet de ladite plainte. On comprend toutefois de la décision querellée  et cest là lessentiel  que le Ministère public voit un conflit dintérêts, et partant un empêchement à ce que Me D.________ représente le plaignant C.________ dans le cadre de la procédure MP.2020.4280, dans le fait que les prévenus dans cette dernière procédure (soit A.Y.________ et B.Y.________) ont déposé une plainte pénale contre C.________ et Me D.________, en raison des propos contenus dans cette plainte (de manière générale pour dénonciation calomnieuse, induction de la justice en erreur, voire calomnie et diffamation, et pour injure en rapport avec le chiffre 13 de cette plainte).</w:t>
      </w:r>
    </w:p>
    <w:p>
      <w:r>
        <w:t>4.La décision querellée ne mentionne pas les dispositions légales qui ont été appliquées, nia fortioriles raisons pour lesquelles le Ministère public est parvenu à la conclusion que ces conditions étaient réalisées, avec pour conséquence limpossibilité pour Me D.________ de représenter le plaignant B.Y.________ dans la procédure MP.2020.4280. La lecture de la décision querellée ne permet pas de comprendre en quoi la situation pointée par le Ministère public engendrerait concrètement un risque, pour C.________, de ne pas bénéficier dune défense exempte de conflit dintérêts dans le cadre de la procédure MP.2020.4280, ni en quoi, du point de vue du Ministère public, Me D.________ serait, du fait de cette situation, restreint dans sa capacité de défendre les intérêts de C.________ dans la procédure MP.2020.4280, ou alors mis en situation de pouvoir utiliser les connaissances acquises dans la procédure MP.2020.4280 dans le cadre dune autre procédure, possiblement au détriment de C.________. Dans ces conditions, il est douteux que la décision querellée respecte les exigences minimales de motivation découlant du droit d'être entendu (art. 29 al. 2 Cst. ;ATF 141 III 28cons. 3.2.4 ;139 IV 179cons. 2.2 ;139 IV 179cons. 2 ;138 I 232cons. 5.1).</w:t>
      </w:r>
    </w:p>
    <w:p>
      <w:r>
        <w:t>5.Cette question peut souffrir de demeurer ouverte, à mesure que la conclusion de lautorité intimée ne résiste de toute manière pas à lexamen.</w:t>
      </w:r>
    </w:p>
    <w:p>
      <w:r>
        <w:t>5.1Un conflit dintérêts pourrait certes exister, théoriquement, entre Me D.________ et C.________ dans le cadre de la procédure relative à la plainte de A.Y.________ et B.Y.________ dirigée (notamment) contre eux, et dans laquelle Me D.________ et C.________ pourraient être co-prévenus, en raison des propos figurant dans la plainte du 23 septembre 2020. En effet, un prévenu pourrait  théoriquement  chercher à se décharger sur son co-prévenu.</w:t>
      </w:r>
    </w:p>
    <w:p>
      <w:r>
        <w:t>La procédure relative à la plainte de A.Y.________ et B.Y.________ dirigée (notamment) contre Me D.________ et C.________ est toutefois  aussi bien matériellement que formellement  une procédure distincte de la procédure MP.2020.4280 ici en cause. Dans les faits, la demande formelle de jonction figurant dans la plainte de A.Y.________ et B.Y.________ na pas été suivie, puisque les plaintes faisant lobjet des lettres A et B ci-dessus sont instruites sous deux numéros distincts, par deux procureurs distincts. Cest le lieu dajouter que cette demande de jonction navait pas à être suivie, à mesure que les conditions de larticle 29 al. 1 CPP nétaient manifestement pas réalisées.</w:t>
      </w:r>
    </w:p>
    <w:p>
      <w:r>
        <w:t>Il ne ressort pas du dossier que le fait que Me D.________ et C.________ soient accusés de diverses infractions en raison de la teneur de la plainte du 23 septembre 2020 aurait créé entre eux des tensions (si tel était le cas, le mandat aurait sans doute été résilié par lun ou lautre des protagonistes). De plus, il nest pas exclu à ce stade que Me D.________ et C.________ soient mis au bénéfice dune ordonnance de non-entrée en matière. En létat, cette situation nengendre aucun risque, pour C.________, de ne pas bénéficier, de la part de Me D.________, dune défense exempte de conflit dintérêts dans le cadre de la procédure MP.2020.4280. De même, on ne voit pas en quoi Me D.________ serait, du fait de cette situation, restreint dans sa capacité de défendre les intérêts de C.________ dans la procédure MP.2020.4280, ou mis en situation de pouvoir utiliser les connaissances acquises dans la procédure MP.2020.4280 dans le cadre dune autre procédure, possiblement au détriment de C.________. Cest le lieu de relever que la situation présente est susceptible de survenir dans un grand nombre de cas. En effet, toute plainte pénale peut potentiellement faire lobjet dune contre-plainte du dénoncé contre le dénonçant pour dénonciation calomnieuse, induction de la justice en erreur et/ou infraction contre lhonneur, puisque le fait dévoquer une infraction pénale ou un comportement clairement réprouvé par les conceptions morales généralement admises est potentiellement attentatoire à lhonneur protégé par le droit pénal (arrêts du TF du29.03.2019 [6B_226/2019]cons. 3.3 ; du03.01.2017 [6B_224/2016]cons. 2.2). Suivre le Ministère public aboutirait donc à ce quil suffise, de la part du prévenu et pour priver le plaignant de son avocat de (premier) choix, de déposer une plainte pénale conjointement contre ledit plaignant et son avocat, en raison de la teneur de la plainte, ce qui ouvrirait évidemment la porte à tous les abus.</w:t>
      </w:r>
    </w:p>
    <w:p>
      <w:r>
        <w:t>5.2a) Sagissant du caractère potentiellement attentatoire à lhonneur de certains propos figurant dans lécrit dun avocat, il ne faut en outre pas perdre de vue que cest la technicité de la matière qui justifie le recours par le mandant à un avocat, si bien quil nest pas conforme au cours ordinaire des choses que ledit mandant ait préalablement validé les termes utilisés par lavocat (arrêt de lAutorité de céans du 20.04.2020 [ARMP.2020.21 et 22] cons. 6). Sagissant de la question de savoir si les termes utilisés franchissent ou non la «ligne rouge» du droit pénal (caractère attentatoire à lhonneur), il est par ailleurs conforme au cours ordinaire des choses que le mandant sen remette à lavis de lavocat, dont la question relève de sa spécialité. Si lécrit dun avocat contient des propos attentatoires à lhonneur, la seule personne qui en répondra pénalement sera donc en principe cet avocat (éventuellement également son maître de stage sil sagit dun avocat stagiaire), sauf circonstances exceptionnelles, dont rien ne permet de penser quelles pourraient être réalisées ici.</w:t>
      </w:r>
    </w:p>
    <w:p>
      <w:r>
        <w:t>b) Sagissant des infractions contre ladministration de la justice (dénonciation calomnieuse au sens de lart. 303 CP ; induire la justice en erreur au sens de lart. 304 CP), il est conforme au cours ordinaire des choses et à lexpérience judiciaire que lavocat qui dépose une plainte au nom dun mandant na pour seule connaissance des faits que la version que lui en a donné son mandant, sous réserve des cas dans lesquels les allégués du client reposent par exemple sur des documents, dautres éléments matériels ou des déclarations de tiers déjà connues. Il est donc en principe difficilement concevable, quand le récit du client constitue le seul élément disponible, que lavocat puisse savoir demblée quil dénonce une personne innocente (art. 303 CP) ou une infraction nayant en réalité pas été commise (art. 304 CP). Rien ne permet de penser que cela pourrait être le cas ici.</w:t>
      </w:r>
    </w:p>
    <w:p>
      <w:r>
        <w:t>6.Vu lensemble de ce qui précède, le recours doit être admis et la décision querellée annulée.</w:t>
      </w:r>
    </w:p>
    <w:p>
      <w:r>
        <w:t>7.Le recourant a droit à une indemnité de dépens, à la charge de lÉtat (art. 436 al. 3 CPP). Il a respecté son obligation de chiffrer et de justifier ses prétentions (art. 433 al. 2 CPP, applicable par renvoi de lart. 436 al. 1 CPP). Le mémoire dhonoraires déposé fait état de 6 heures et</w:t>
      </w:r>
    </w:p>
    <w:p>
      <w:r>
        <w:rPr>
          <w:b/>
        </w:rPr>
        <w:t>E. 25</w:t>
      </w:r>
    </w:p>
    <w:p>
      <w:r>
        <w:t>minutes dactivité de lavocat au tarif horaire de 270 francs, soit des honoraires de 1'732.50 francs. Le tarif horaire est admissible eu égard à la pratique du Tribunal cantonal (indemnisation de lavocat de choix au tarif horaire de 250 à 300 francs, en fonction de la nature, de lampleur et de la difficulté de la cause), tout comme le nombre dheures consacrées au dossier, dont lavocat a dû prendre connaissance. Les frais de photocopies par 32 francs ne se justifient pas, à mesure que cest en version numérique (et non papier) que le dossier a été transmis dans son intégralité à Me G.________. On ne voit pas non plus à quels frais effectifs pourraient correspondre les 50 francs de frais «pour louverture du dossier» mentionnés dans le mémoire dhonoraires. Après ajout de la TVA par 133.40 francs, on parvient à un total de 1'865.90 francs.</w:t>
      </w:r>
    </w:p>
    <w:p>
      <w:r>
        <w:t>Par ces motifs,l'Autorité de recours en matière pénale</w:t>
      </w:r>
    </w:p>
    <w:p>
      <w:r>
        <w:t>1.Admet le recours.</w:t>
      </w:r>
    </w:p>
    <w:p>
      <w:r>
        <w:t>2.Annule la décision querellée.</w:t>
      </w:r>
    </w:p>
    <w:p>
      <w:r>
        <w:t>3.Alloue au recourant une indemnité de 1'865.90 francs, à la charge de lÉtat (art. 436 al. 3 CPP).</w:t>
      </w:r>
    </w:p>
    <w:p>
      <w:r>
        <w:t>4.Notifie le présent arrêt au recourant (avec copie de la lettre du Ministère public du 15 décembre 2020), par Me G.________ et au Ministère public (MP.2020.4280-MPNE/nt).</w:t>
      </w:r>
    </w:p>
    <w:p>
      <w:r>
        <w:t>Neuchâtel, le 21 décembre 2020</w:t>
      </w:r>
    </w:p>
    <w:p>
      <w:r>
        <w:t>Lavocat est soumis aux règles professionnelles suivantes:</w:t>
      </w:r>
    </w:p>
    <w:p>
      <w:r>
        <w:t>a.il exerce sa profession avec soin et diligence;</w:t>
      </w:r>
    </w:p>
    <w:p>
      <w:r>
        <w:t>b.il exerce son activité professionnelle en toute indépendance, en son nom personnel et sous sa propre responsabilité;</w:t>
      </w:r>
    </w:p>
    <w:p>
      <w:r>
        <w:t>c.il évite tout conflit entre les intérêts de son client et ceux des personnes avec lesquelles il est en relation sur le plan professionnel ou privé;</w:t>
      </w:r>
    </w:p>
    <w:p>
      <w:r>
        <w:t>d.il peut faire de la publicité, pour autant que celle-ci se limite à des faits objectifs et quelle satisfasse à lintérêt général;</w:t>
      </w:r>
    </w:p>
    <w:p>
      <w:r>
        <w:t>e.il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g.il est tenu daccepter les défenses doffice et les mandats dassistance judiciaire dans le canton au registre duquel il est inscrit;</w:t>
      </w:r>
    </w:p>
    <w:p>
      <w:r>
        <w:t>h.il conserve séparément les avoirs qui lui sont confiés et son patrimoine;</w:t>
      </w:r>
    </w:p>
    <w:p>
      <w:r>
        <w:t>i.lorsquil accepte un mandat, il informe son client des modalités de facturation et le renseigne périodiquement ou à sa demande sur le montant des honoraires dus;</w:t>
      </w:r>
    </w:p>
    <w:p>
      <w:r>
        <w:t>j.il communique à lautorité de surveillance toute modification relative aux indications du registre le concernant.</w:t>
      </w:r>
    </w:p>
    <w:p>
      <w:r>
        <w:t>1Nouvelle teneur selon le ch. I de la LF du 23 juin 2006, en vigueur depuis le 1erjanv. 2007 (RO20064399;FF20056207).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