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ARMP.2020.150 vom 16. April 2020</w:t>
      </w:r>
    </w:p>
    <w:p>
      <w:r>
        <w:t>NE Tribunal cantonal, 2020-04-16, FR</w:t>
      </w:r>
    </w:p>
    <w:p>
      <w:r>
        <w:rPr>
          <w:b/>
        </w:rPr>
        <w:t xml:space="preserve">Quelle: </w:t>
      </w:r>
      <w:r>
        <w:t>https://mcp.opencaselaw.ch/entscheid/ne_gerichte_ARMP.2020.150_d20200416</w:t>
      </w:r>
    </w:p>
    <w:p>
      <w:r>
        <w:t>FR: NE_GERICHTE ARMP.2020.150 du 16 avril 2020</w:t>
      </w:r>
    </w:p>
    <w:p>
      <w:r>
        <w:t>IT: NE_GERICHTE ARMP.2020.150 del 16 aprile 2020</w:t>
      </w:r>
    </w:p>
    <w:p>
      <w:pPr>
        <w:pStyle w:val="Heading2"/>
      </w:pPr>
      <w:r>
        <w:t>Regeste</w:t>
      </w:r>
    </w:p>
    <w:p>
      <w:r>
        <w:t>Non-entrée en matière. Blanchiment d’argent.</w:t>
      </w:r>
    </w:p>
    <w:p>
      <w:pPr>
        <w:pStyle w:val="Heading2"/>
      </w:pPr>
      <w:r>
        <w:t>Erwägungen</w:t>
      </w:r>
    </w:p>
    <w:p>
      <w:r>
        <w:rPr>
          <w:b/>
        </w:rPr>
        <w:t>E. 1</w:t>
      </w:r>
    </w:p>
    <w:p>
      <w:r>
        <w:t>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pécuniaire.3</w:t>
      </w:r>
    </w:p>
    <w:p>
      <w:r>
        <w:t>1bis. Sont considérées comme un délit fiscal qualifié, les infractions mentionnées à lart. 186 de la loi fédérale du 14 décembre 1990 sur limpôt fédéral direct4et à lart. 59, al. 1, 1erparagraphe, de la loi fédérale du 14 décembre 1990 sur lharmonisation des impôts directs des cantons et des communes5, lorsque les impôts soustraits par période fiscale se montent à plus de 300 000 francs.6</w:t>
      </w:r>
    </w:p>
    <w:p>
      <w:r>
        <w:rPr>
          <w:b/>
        </w:rPr>
        <w:t>E. 2</w:t>
      </w:r>
    </w:p>
    <w:p>
      <w:r>
        <w:t>Dans les cas graves, la peine sera une peine privative de liberté de cinq ans au plus ou une peine pécuniaire. En cas de peine privative de liberté, une peine pécuniaire de 500 jours-amende au plus est également prononcée.7</w:t>
      </w:r>
    </w:p>
    <w:p>
      <w:r>
        <w:t>Le cas est grave, notamment lorsque le délinquant:</w:t>
      </w:r>
    </w:p>
    <w:p>
      <w:r>
        <w:t>a.agit comme membre dune organisation criminelle;</w:t>
      </w:r>
    </w:p>
    <w:p>
      <w:r>
        <w:t>b.agit comme membre dune bande formée pour se livrer de manière systématique au blanchiment dargent8;</w:t>
      </w:r>
    </w:p>
    <w:p>
      <w:r>
        <w:t>c.réalise un chiffre daffaires ou un gain importants en faisant métier de blanchir de largent.</w:t>
      </w:r>
    </w:p>
    <w:p>
      <w:r>
        <w:rPr>
          <w:b/>
        </w:rPr>
        <w:t>E. 3</w:t>
      </w:r>
    </w:p>
    <w:p>
      <w:r>
        <w:t>Le délinquant est aussi punissable lorsque linfraction principale a été commise à létranger et lorsquelle est aussi punissable dans lÉtat où elle a été commise.9</w:t>
      </w:r>
    </w:p>
    <w:p>
      <w:r>
        <w:t>1Introduit par le ch. I de la LF du 23 mars 1990, en vigueur depuis le 1eraoût 1990 (RO19901077; FF1989II 961).2Nouvelle teneur selon lart. 43 de la LF du 10 oct. 1997 sur le blanchiment dargent, en vigueur depuis le 1eravr. 1998 (RO1998892; FF1996III 1057).3Nouvelle teneur selon le ch. I 4 de la LF du 12 déc. 2014 sur la mise en oeuvre des recommandations du Groupe daction financière, révisées en 2012, en vigueur depuis le 1erjanv. 2016 (RO20151389;FF2014585). Voir aussi disp. trans. de cette mod. à la fin du texte.4RS642.115RS642.146Introduit par le ch. I 4 de la LF du 12 déc. 2014 sur la mise en oeuvre des recommandations du Groupe daction financière, révisées en 2012, en vigueur depuis le 1erjanv. 2016 (RO20151389;FF2014585).7Nouvelle teneur des phrases selon le ch. II 1 al. 16 de la LF du 13 déc. 2002, en vigueur depuis le 1erjanv. 2007 (RO20063459;FF19991787).8Nouvelle teneur selon lart. 43 de la LF du 10 oct. 1997 sur le blanchiment dargent, en vigueur depuis le 1eravr. 1998 (RO1998892; FF1996III 1057).9Rectifié par la CdR de lAss. féd. (art. 33 LREC; RO19741051).</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rPr>
          <w:b/>
        </w:rPr>
        <w:t>E. 4</w:t>
      </w:r>
    </w:p>
    <w:p>
      <w:r>
        <w:t>Vu ce qui précède, le recours doit être rejeté. Les frais de la procédure de recours seront mis à la charge du recourant, mais fixés au minimum prévu à l’article 42 LTFrais , soit 200 francs, pour tenir compte du fait que la décision entreprise était pour le moins succincte et pouvait éveiller chez lui des doutes quant à son bien-fondé.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