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ARMP.2020.137 vom 21. Oktober 2020</w:t>
      </w:r>
    </w:p>
    <w:p>
      <w:r>
        <w:t>NE Tribunal cantonal, 2020-10-21, FR</w:t>
      </w:r>
    </w:p>
    <w:p>
      <w:r>
        <w:rPr>
          <w:b/>
        </w:rPr>
        <w:t xml:space="preserve">Quelle: </w:t>
      </w:r>
      <w:r>
        <w:t>https://mcp.opencaselaw.ch/entscheid/ne_gerichte_ARMP.2020.137</w:t>
      </w:r>
    </w:p>
    <w:p>
      <w:r>
        <w:t>FR: NE_GERICHTE ARMP.2020.137 du 21 octobre 2020</w:t>
      </w:r>
    </w:p>
    <w:p>
      <w:r>
        <w:t>IT: NE_GERICHTE ARMP.2020.137 del 21 ottobre 2020</w:t>
      </w:r>
    </w:p>
    <w:p>
      <w:pPr>
        <w:pStyle w:val="Heading2"/>
      </w:pPr>
      <w:r>
        <w:t>Erwägungen</w:t>
      </w:r>
    </w:p>
    <w:p>
      <w:r>
        <w:rPr>
          <w:b/>
        </w:rPr>
        <w:t>E. 1</w:t>
      </w:r>
    </w:p>
    <w:p>
      <w:r>
        <w:t>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rPr>
          <w:b/>
        </w:rPr>
        <w:t>E. 2</w:t>
      </w:r>
    </w:p>
    <w:p>
      <w:r>
        <w:t>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rPr>
          <w:b/>
        </w:rPr>
        <w:t>E. 3</w:t>
      </w:r>
    </w:p>
    <w:p>
      <w:r>
        <w:t>La gestion déloyale au préjudice des proches ou des familiers ne sera poursuivie que sur plainte.</w:t>
      </w:r>
    </w:p>
    <w:p>
      <w:r>
        <w:t>1On entend par lésé toute personne dont les droits ont été touchés directement par une infraction.</w:t>
      </w:r>
    </w:p>
    <w:p>
      <w:r>
        <w:t>2Sont toujours considérées comme des lésés les personnes qui ont qualité pour déposer plainte pénale.</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r>
        <w:rPr>
          <w:b/>
        </w:rPr>
        <w:t>E. 5</w:t>
      </w:r>
    </w:p>
    <w:p>
      <w:r>
        <w:t>a) S’agissant de la décision du Ministère public leur déniant la qualité de parties dès le moment de l’entrée en force de l’ordonnance de classement partiel, les recourants ne la contestent qu’en rapport avec le fait qu’ils estiment que le principe in dubio pro duriore s’opposait au classement en rapport avec l’accusation d’escroquerie. À mesure que ce grief tombe à faux, la question n’a pas à être fouillée davantage. b) On précisera toutefois que c’est avec raison que le Ministère public a retenu que les recourants n’avaient pas qualité de parties à la procédure en rapport avec l’infraction de gestion déloyale. En effet, selon l'article 118 al. 1 CPP, on entend par partie plaignante le lésé qui déclare expressément vouloir participer à la procédure pénale comme demandeur au pénal ou au civil. La notion de lésé est définie à l'article 115 CPP ; il s'agit de « toute personne dont les droits ont été touchés directement par une infraction ». En règle générale, seul peut se prévaloir d'une atteinte directe le titulaire du bien juridique protégé par la disposition pénale qui a été enfreinte ( ATF 138 IV 258 cons. 2.3 ; 129 IV 95 cons. 3.1 et les références citées). De plus, pour être directement touché, le lésé doit subir une atteinte en rapport de causalité directe avec l'infraction poursuivie, ce qui exclut les dommages par ricochet (arrêt du TF du 24.02.2014 [6B_549/2013] cons. 2.1). En l’espèce, aux termes de la décision d’ouverture d’instruction du 11 août 2020, il est reproché à Y.________ d’avoir, en sa qualité d’administrateur et actionnaire principal de A.________ SA, procédé à des opérations commercialement injustifiées, notamment utilisé des actifs sociaux dans son intérêt propre (paiement de ses impôts personnels, leasing sur une Tesla dont il faisait un usage privé). De tels comportements sont susceptibles de léser directement les intérêts de la société concernée (soit A.________ SA), mais non ceux des créanciers de cette société, qui ne pourraient être lésés qu’indirectement ou par ricochet. C’est le lieu de rappeler que selon la jurisprudence constante, la société anonyme – même unipersonnelle – est titulaire autonome de son patrimoine et celui-ci lui est propre, non seulement face à l'extérieur, mais aussi envers chacun des organes sociaux, si bien que des actes du conseil d'administration au préjudice de la SA unipersonnelle peuvent réaliser l'infraction de gestion déloyale, même si l'actionnaire unique y consent ( ATF 141 IV 104 cons. 3).</w:t>
      </w:r>
    </w:p>
    <w:p>
      <w:r>
        <w:rPr>
          <w:b/>
        </w:rPr>
        <w:t>E. 6</w:t>
      </w:r>
    </w:p>
    <w:p>
      <w:r>
        <w:t>Vu l’ensemble de ce qui précède, le recours doit être rejeté, aux frais de leurs auteurs (art. 428 al. 1 CPP ; art. 42 de la loi du 6 novembre 2019 fixant le tarif des frais, des émoluments de chancellerie et des dépens en matière civile, pénale et administrative [ LTFrais , RSN 164.1]). Y.________, qui n’a pas été invité à participer à la procédure de recours (art. 390 al. 2 CPP),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