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ARMP.2020.10 vom 10. März 2020</w:t>
      </w:r>
    </w:p>
    <w:p>
      <w:r>
        <w:t>NE Tribunal cantonal, 2020-03-10, FR</w:t>
      </w:r>
    </w:p>
    <w:p>
      <w:r>
        <w:rPr>
          <w:b/>
        </w:rPr>
        <w:t xml:space="preserve">Quelle: </w:t>
      </w:r>
      <w:r>
        <w:t>https://mcp.opencaselaw.ch/entscheid/ne_gerichte_ARMP.2020.10</w:t>
      </w:r>
    </w:p>
    <w:p>
      <w:r>
        <w:t>FR: NE_GERICHTE ARMP.2020.10 du 10 mars 2020</w:t>
      </w:r>
    </w:p>
    <w:p>
      <w:r>
        <w:t>IT: NE_GERICHTE ARMP.2020.10 del 10 marzo 2020</w:t>
      </w:r>
    </w:p>
    <w:p>
      <w:pPr>
        <w:pStyle w:val="Heading2"/>
      </w:pPr>
      <w:r>
        <w:t>Erwägungen</w:t>
      </w:r>
    </w:p>
    <w:p>
      <w:r>
        <w:rPr>
          <w:b/>
        </w:rPr>
        <w:t>E. 1</w:t>
      </w:r>
    </w:p>
    <w:p>
      <w:r>
        <w:t>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rPr>
          <w:b/>
        </w:rPr>
        <w:t>E. 2</w:t>
      </w:r>
    </w:p>
    <w:p>
      <w:r>
        <w:t>Si lauteur a trouvé la chose ou si celle-ci est tombée en son pouvoir indépendamment de sa volonté,</w:t>
      </w:r>
    </w:p>
    <w:p>
      <w:r>
        <w:t>sil a agi sans dessein denrichissement ou</w:t>
      </w:r>
    </w:p>
    <w:p>
      <w:r>
        <w:t>si lacte a été commis au préjudice des proches ou des familiers,</w:t>
      </w:r>
    </w:p>
    <w:p>
      <w:r>
        <w:t>linfraction ne sera poursuivie que sur plainte.</w:t>
      </w:r>
    </w:p>
    <w:p>
      <w:r>
        <w:t>1Celui qui aura endommagé, détruit ou mis hors dusage une chose appartenant à autrui ou frappée dun droit dusage ou dusufruit au bénéfice dautrui sera, sur plainte, puni dune peine privative de liberté de trois ans au plus ou dune peine pécuniaire.</w:t>
      </w:r>
    </w:p>
    <w:p>
      <w:r>
        <w:t>2Si lauteur a commis le dommage à la propriété à loccasion dun attroupement formé en public, la poursuite aura lieu doffice.</w:t>
      </w:r>
    </w:p>
    <w:p>
      <w:r>
        <w:t>3Si lauteur a causé un dommage considérable, le juge pourra prononcer une peine privative de liberté de un à cinq ans. La poursuite aura lieu doffice.</w:t>
      </w:r>
    </w:p>
    <w:p>
      <w:r>
        <w:t>1Si lacte ne visait quun élément patrimonial de faible valeur ou un dommage de moindre importance, lauteur sera, sur plainte, puni dune amende.</w:t>
      </w:r>
    </w:p>
    <w:p>
      <w:r>
        <w:t>2Cette disposition nest pas applicable au vol qualifié (art. 139, ch. 2 et 3), au brigandage ainsi quà lextorsion et au chantage.</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lannexe ch. 18 de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1Les autorités pénales mettent en oeuvre tous les moyens de preuves licites qui, selon létat des connaissances scientifiques et lexpérience, sont propres à établir la vérité.</w:t>
      </w:r>
    </w:p>
    <w:p>
      <w:r>
        <w:t>2Il ny a pas lieu dadministrer des preuves sur des faits non pertinents, notoires, connus de lautorité pénale ou déjà suffisamment prouvés.</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rPr>
          <w:b/>
        </w:rPr>
        <w:t>E. 5</w:t>
      </w:r>
    </w:p>
    <w:p>
      <w:r>
        <w:t>a) Le recourant invoque encore une violation de son droit d’être entendu, à mesure qu’il n’a pas pu assister à l’audition d’Y 2 .________. b) Il faut opérer une très nette distinction entre les deux stades procéduraux foncièrement différents auxquels se rapportent la non-entrée en matière ( art. 310 CPP ) et le classement ( art. 319 ss CPP ). Un classement postule une instruction (art. 308 à 318 CPP) complète destinée à établir les faits et l'appréciation juridique du cas, diligentée jusqu'à son terme, au cours de laquelle les parties bénéficient du droit d'être entendu ( art. 3 al. 2 let . c CPP et 107 CPP). Le classement est de surcroît précédé d'un avis de prochaine clôture ( art. 318 CPP ). À l'opposé, la non-entrée en matière intervient en amont de toute instruction. Les parties ne bénéficient pas, à ce stade, du droit d'être entendu (arrêt du TF du 23.01.2018 [6B_1153/2016] cons. 2.3.3 et les références citées). Le législateur a formalisé cette différence dans les dispositions en matière de droit de participation aux actes d’enquête puisque si l’article 147 al. 1 CPP (valant pour l’instruction) prévoit une participation à toute l’administration des preuves, l’article 159 al. 1 CPP – expressément réservé à l’article 147 al. 1 CPP – restreint justement la participation de l’avocat à la seule audition de son client, prévenu au stade des investigations policières, à l’exclusion des auditions des co-prévenus et témoins. c) En l’espèce, aucune violation du droit d’être entendu du recourant n’est dès lors à déplorer, puisque la police a auditionné Y 2 .________ avant l’ouverture formelle d’une instruction par le Ministère public et que la restriction de l’article 159 al. 1 CPP s’appliquait pleinement.</w:t>
      </w:r>
    </w:p>
    <w:p>
      <w:r>
        <w:rPr>
          <w:b/>
        </w:rPr>
        <w:t>E. 6</w:t>
      </w:r>
    </w:p>
    <w:p>
      <w:r>
        <w:t>a) En dernier lieu, le recourant fait grief au Ministère public de ne pas avoir interrogé les auteures du constat médical et de l’attestation établis respectivement par la doctoresse C.________ et la psychologue D.________. b) Selon l' article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 3.3 ; ATF 136 I 229 cons. 5.3). c) S’agissant du constat médical, on ne voit pas en quoi l’audition de son auteure permettrait d’apporter quoique ce soit de plus que les constatations qu’il renferme, ce d’autant moins que l’écoulement du temps n’a pu qu’altérer les souvenirs de la doctoresse qui l’a établi. Quant à l’audition de la psychologue traitante du recourant, elle ne constituerait qu’une preuve par ouï-dire, laquelle n’amènerait rien de décisif à l’établissement des faits.</w:t>
      </w:r>
    </w:p>
    <w:p>
      <w:r>
        <w:rPr>
          <w:b/>
        </w:rPr>
        <w:t>E. 7</w:t>
      </w:r>
    </w:p>
    <w:p>
      <w:r>
        <w:t>Au vu de ce qui précède, il se justifie d’annuler l’ordonnance entreprise et de renvoyer la cause au Ministère public pour ouverture d’une instruction. Après visionnage des vidéos, le Ministère public entendra les « filles » – pour autant que leur identité puisse être établie – qui auraient été menacées par le recourant au moyen d’un marteau. Il réentendra ensuite séparément le recourant et Y 1 .________ pour les confronter aux résultats de l’administration de ces nouvelles preuves et à la version des faits de l’autre. Y 1 .________ doit en particulier être entendu au sujet du « vol » de la perruque alors que le recourant doit être interrogé sur « l’épisode du marteau » et sur la légalité de l’installation de vidéosurveillance au regard du principe de reconnaissabilité notamment. Il sera ensuite laissé à l’appréciation du Ministère public de décider si une éventuelle confrontation entre le recourant et Y 1 .________ doit avoir lieu à l’issue de l’administration des moyens de preuves précités. Le Ministère public est enfin libre d’administrer les autres preuves qu’il estimerait nécessaires avant de statuer à nouveau.</w:t>
      </w:r>
    </w:p>
    <w:p>
      <w:r>
        <w:rPr>
          <w:b/>
        </w:rPr>
        <w:t>E. 8</w:t>
      </w:r>
    </w:p>
    <w:p>
      <w:r>
        <w:t>Vu l’issue de la cause, les frais judiciaires seront laissés – même si le recourant n’obtient pas gain de cause sur tous les griefs – à la charge de l’Etat et une indemnité de dépens, arrêtée à 600 francs, sera allouée au recourant, également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