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ARMP.2019.85 vom 13. August 2019</w:t>
      </w:r>
    </w:p>
    <w:p>
      <w:r>
        <w:t>NE Tribunal cantonal, 2019-08-13, FR</w:t>
      </w:r>
    </w:p>
    <w:p>
      <w:r>
        <w:rPr>
          <w:b/>
        </w:rPr>
        <w:t xml:space="preserve">Quelle: </w:t>
      </w:r>
      <w:r>
        <w:t>https://mcp.opencaselaw.ch/entscheid/ne_gerichte_ARMP.2019.85</w:t>
      </w:r>
    </w:p>
    <w:p>
      <w:r>
        <w:t>FR: NE_GERICHTE ARMP.2019.85 du 13 août 2019</w:t>
      </w:r>
    </w:p>
    <w:p>
      <w:r>
        <w:t>IT: NE_GERICHTE ARMP.2019.85 del 13 agosto 2019</w:t>
      </w:r>
    </w:p>
    <w:p>
      <w:pPr>
        <w:pStyle w:val="Heading2"/>
      </w:pPr>
      <w:r>
        <w:t>Erwägungen</w:t>
      </w:r>
    </w:p>
    <w:p>
      <w:r>
        <w:rPr>
          <w:b/>
        </w:rPr>
        <w:t>E. 1</w:t>
      </w:r>
    </w:p>
    <w:p>
      <w:r>
        <w:t>________, né en 2001, étant précisé que le véhicule recherché se trouvait sur place. Après avoir sonné, les agents ont eu contact avec X</w:t>
      </w:r>
    </w:p>
    <w:p>
      <w:r>
        <w:rPr>
          <w:b/>
        </w:rPr>
        <w:t>E. 2</w:t>
      </w:r>
    </w:p>
    <w:p>
      <w:r>
        <w:t>________, né en 1982, lequel a déclaré être le propriétaire et conducteur principal du véhicule immatriculé BEXXXXXX au nom de son fils ; avoir prêté ce véhicule à son cousin A.________, né en 1995 et domicilié en Allemagne ; que ses fils se trouvaient également dans la voiture ; que A.________ lui avait parlé d’un flash, sans préciser qu’il roulait à très haute vitesse ; qu’il était déjà reparti pour l’Allemagne, au volant d’un véhicule Mercedes immatriculé en Allemagne. X 1 ________ et X</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notamment sur l’article 263 alinéa 1 lettre d CPP,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La confiscation et la réalisation des véhicules automobiles ayant servi à commettre des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 L’introduction de l’article 90 a LCR vise ainsi à réglementer la question de manière uniforme, comme demandé par le biais de quatre interventions parlementaires (Message, p. 7740 ; arrêt du TF du 05.12.2013 [1B_113/2013] cons. 3.2).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 du 29.11.2017 cons. 2). Aux termes du texte clair de l’article 263 al. 1 let. d CPP ,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2.2</w:t>
      </w:r>
    </w:p>
    <w:p>
      <w:r>
        <w:t>Dans le cadre du programme d’action « Via sicura », le législateur a renforcé les dispositions pénales de la LCR en ajoutant aux deux catégories de violations des règles de la circulation qui existaient jusque là – la violation simple des règles de la circulation (art. 90 al. 1 LCR), constitutive d’une contravention, et la violation grave des règles de la circulation (art. 90 al. 2 LCR), constitutive d’un délit – une troisième catégorie de violations particulièrement graves des règles de la circulation, constitutives d’un crime (art. 90 al. 3 LCR). Selon cette disposition,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 À l’article 90 alinéa 4 LCR sont énumérés, pour chaque cas, les dépassements de la vitesse maximale autorisée sanctionnés en application de l’alinéa 3, soit au moins 40 km/h là où la limite était fixée à 30 km/h ; 50 km/h là où elle était fixée à 50 km/h ; 60 km/h là où elle était fixée à 80 km/h et 80 km/h là où elle était fixée à plus de 80 km/h. Il y a toutefois lieu d’observer que l'alinéa 3 peut trouver application de manière autonome lors d'un dépassement de vitesse important inférieur aux valeurs indicatives de l'alinéa 4 (cf. ATF 142 IV 137 cons. 8.1). Celui qui commet un excès de vitesse appréhendé par l'article 90 al. 4 LCR commet objectivement une violation grave qualifiée des règles de la circulation routière au sens de l'article 90 al. 3 LCR et réalise en principe les conditions subjectives de l'infraction. Il faut en effet considérer que l'atteinte d'un des seuils visés à l'article 90 al. 4 LCR implique généralement l'impossibilité d'éviter un grand risque d'accident en cas d'obstacle ou de perte de maîtrise du véhicule. L’article 90 al. 4 LCR crée ainsi une présomption réfragable de la réalisation de l'élément subjectif de l'infraction réprimée par l'article 90 al. 3 LCR. Il s’ensuit que même lorsque les seuils d'excès de vitesse posés à l’article 90 al. 3 LCR ont été atteints, le juge ne peut faire l'économie de l'examen de circonstances exceptionnelles ( ATF 142 IV 137 ; arrêt du TF prévu pour publication du 13.11.2017 [6B_24/2017] cons. 1.3). La doctrine évoque à cet égard une limitation de vitesse temporaire pour des motifs exclusivement écologiques, un dysfonctionnement des panneaux variables de limitation de vitesse sur l'autoroute ou encore l’omission d'enlever une limitation de vitesse liée à un chantier ( Jeanneret , Via sicura : le nouvel arsenal pénal, Circulation routière 5/2013, p. 36).</w:t>
      </w:r>
    </w:p>
    <w:p>
      <w:r>
        <w:rPr>
          <w:b/>
        </w:rPr>
        <w:t>E. 3</w:t>
      </w:r>
    </w:p>
    <w:p>
      <w:r>
        <w:t>En l’espèce, le véhicule litigieux a servi à commettre un excès de vitesse de 101 km/h sur un tronçon limité à 80 km/h, soit une violation grave qualifiée des règles de la circulation au sens de l’article 90 al. 3 LCR (art. 90 al. 4 let. c LCR ; ATF 140 IV 133 cons. 4.1 ; 139 IV 250 cons. 2.3.1). Selon la jurisprudence, les conditions de la confiscation prévues à l’article 90 a al. 1 let. a LCR sont en règle générale remplies en pareils cas (au sens de l’art. 90 al. 3 et 4 LCR) ; une éventuelle confiscation ne se limite d’ailleurs pas à ces cas, mais entre également en considération en cas de violations graves (non qualifiées) des règles de la circulation au sens de l’article 90 al. 2 LCR ( ATF 139 IV 250 c. 2.3.3). Le véhicule litigieux ayant servi à la commission d’un crime, sa confiscation est hautement vraisemblable. Au surplus, la condition cumulative de l'absence de scrupule prévue à l'article 90 a al. 1 let. a LCR n’a pas à être examinée par le juge du séquestre ( ATF 140 IV 133 cons.</w:t>
      </w:r>
    </w:p>
    <w:p>
      <w:r>
        <w:rPr>
          <w:b/>
        </w:rPr>
        <w:t>E. 3.4</w:t>
      </w:r>
    </w:p>
    <w:p>
      <w:r>
        <w:t>; arrêt du Tribunal fédéral du 03.11.2014 [1B_252/2014] cons. 2.4). Il s’ensuit qu’il n’est en l’espèce pas manifeste et indubitable que les conditions matérielles d’une confiscation ne sont pas réalisées et ne pourront l’être.</w:t>
      </w:r>
    </w:p>
    <w:p>
      <w:r>
        <w:rPr>
          <w:b/>
        </w:rPr>
        <w:t>E. 4</w:t>
      </w:r>
    </w:p>
    <w:p>
      <w:r>
        <w:t>Le Ministère public soupçonne à juste titre X 2 ________ d’être l’auteur de l’infraction commise le 23 juin 2019 à 01h56. En effet, la thèse de l’utilisation du véhicule litigieux, au moment de la commission de l’infraction, par un cousin vivant en Allemagne, lequel aurait subitement repris la route pour ce pays au milieu de la nuit, est assez peu crédible. Elle l’est d’autant moins que les premiers contrôles font ressortir que A.________ ne détient aucun véhicule, qu’il n’est pas titulaire d’un permis de conduire valable et qu’il n’est pas domicilié à l’adresse indiquée par les intéressés. À mesure que les personnes qui se trouvaient à bord de la Mercedes au moment de la commission de l’infraction ont très vraisemblablement aperçu le flash (v. supra Faits, let. A), les membres de la famille X________ ont disposé, avant l’intervention de la police, du temps nécessaire pour échafauder une version des faits qui mettrait hors de cause l’auteur de l’infraction. Ce d’autant qu’ils n’ont pas été entendus séparément. La thèse de l’élaboration d’une version des faits mensongère par les membres de la famille X________ est d’autant plus vraisemblable qu’après avoir analysé les images de l’infraction, la police a relevé certaines incohérences dans les déclarations recueillies. Selon elle, trois personnes (et non quatre) se trouvaient à bord au moment de l’infraction. X 1 ________ serait par ailleurs reconnaissable sur la place du passager avant (alors qu’il avait dit se trouver à l’arrière). Dans ces conditions, il y a lieu de soupçonner que X 2 ________ pouvait conduire la Mercedes au moment de la commission de l’infraction et que son fils ainé X 1 ________ se trouvait à ce moment-là sur le siège du passager avant, son fils cadet X 3 ________ occupant pour sa part une place à l’arrière.</w:t>
      </w:r>
    </w:p>
    <w:p>
      <w:r>
        <w:rPr>
          <w:b/>
        </w:rPr>
        <w:t>E. 5</w:t>
      </w:r>
    </w:p>
    <w:p>
      <w:r>
        <w:t>Vu la nature de l’infraction, il ne fait aucun doute qu’en mains de l’auteur de cette infraction, le véhicule litigieux est susceptible de mettre en danger la sécurité routière à l’avenir. À mesure qu’à ce stade de la procédure, des soupçons pèsent sur X 2 ________, le maintien du séquestre se justifie. En effet, sous l’angle du respect du principe de la proportionnalité ancré à l’article 36 al. 3 Cst. féd. (règle de la nécessité), les recourants ne proposent aucune mesure alternative au séquestre qui serait susceptible de garantir les mêmes résultats. Du point de vue de l’Autorité de céans, il n’en existe à l’évidence aucune.</w:t>
      </w:r>
    </w:p>
    <w:p>
      <w:r>
        <w:rPr>
          <w:b/>
        </w:rPr>
        <w:t>E. 6</w:t>
      </w:r>
    </w:p>
    <w:p>
      <w:r>
        <w:t>Par surabondance, on ajoutera que X 2 ________ n’apporte pas la preuve de son besoin impératif d’utiliser le véhicule litigieux, soit de l’impossibilité pour lui d’effectuer ses tâches nécessaires et indispensables autrement qu’en utilisant ce véhicule (usage des transports publics ; taxi ; recours au service de tiers amis ou membres de la famille). En tout état de cause, la sécurité publique prime largement sur l’intérêt de X 2 ________ de pouvoir utiliser la Mercedes litigieuse.</w:t>
      </w:r>
    </w:p>
    <w:p>
      <w:r>
        <w:rPr>
          <w:b/>
        </w:rPr>
        <w:t>E. 7</w:t>
      </w:r>
    </w:p>
    <w:p>
      <w:r>
        <w:t>Vu l’ensemble de ce qui précède, les conditions du séquestre sont réalisées, en ce sens que les conditions matérielles d’une confiscation du véhicule litigieux ne sont nullement exclues, d’une part, et que le séquestre est proportionné, d’autre part. Le recours doit partant être rejeté, aux frais solidaires de ses auteurs (art. 428 al. 1 CPP et 39 du Décret fixant le tarif des frais, des émoluments de chancellerie et des dépens en matière civile, pénale et administrative [ TFrais ,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