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ARMP.2019.49 vom 24. Juni 2019</w:t>
      </w:r>
    </w:p>
    <w:p>
      <w:r>
        <w:t>NE Tribunal cantonal, 2019-06-24, FR</w:t>
      </w:r>
    </w:p>
    <w:p>
      <w:r>
        <w:rPr>
          <w:b/>
        </w:rPr>
        <w:t xml:space="preserve">Quelle: </w:t>
      </w:r>
      <w:r>
        <w:t>https://mcp.opencaselaw.ch/entscheid/ne_gerichte_ARMP.2019.49</w:t>
      </w:r>
    </w:p>
    <w:p>
      <w:r>
        <w:t>FR: NE_GERICHTE ARMP.2019.49 du 24 juin 2019</w:t>
      </w:r>
    </w:p>
    <w:p>
      <w:r>
        <w:t>IT: NE_GERICHTE ARMP.2019.49 del 24 giugno 2019</w:t>
      </w:r>
    </w:p>
    <w:p>
      <w:pPr>
        <w:pStyle w:val="Heading2"/>
      </w:pPr>
      <w:r>
        <w:t>Erwägungen</w:t>
      </w:r>
    </w:p>
    <w:p>
      <w:r>
        <w:rPr>
          <w:b/>
        </w:rPr>
        <w:t>E. 3</w:t>
      </w:r>
    </w:p>
    <w:p>
      <w:r>
        <w:t>Vu ce qui précède, le recours doit être admis, la décision attaquée annulée et la cause renvoyée au Ministère public pour qu’il laisse l’opportunité au recourant de se prononcer sur les observations du 5 avril 2019 de l’intimée, avant de statuer à nouveau.</w:t>
      </w:r>
    </w:p>
    <w:p>
      <w:r>
        <w:rPr>
          <w:b/>
        </w:rPr>
        <w:t>E. 4</w:t>
      </w:r>
    </w:p>
    <w:p>
      <w:r>
        <w:t>Les frais doivent être laissés à la charge de l’Etat (art. 428 al. 4 CPP). Les parties ont droit à une indemnité de dépens, à la charge de l’Etat (art. 436 al. 4 CPP, applicable par analogie à la procédure de recours au sens étroit ; ATF 141 IV 476 cons. 1.2 ; Mizel/Rétornaz in : CR CPP, n. 7 ad art. 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