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ARMP.2019.40 vom 5. Februar 2019</w:t>
      </w:r>
    </w:p>
    <w:p>
      <w:r>
        <w:t>NE Tribunal cantonal, 2019-02-05, FR</w:t>
      </w:r>
    </w:p>
    <w:p>
      <w:r>
        <w:rPr>
          <w:b/>
        </w:rPr>
        <w:t xml:space="preserve">Quelle: </w:t>
      </w:r>
      <w:r>
        <w:t>https://mcp.opencaselaw.ch/entscheid/ne_gerichte_ARMP.2019.40_d20190205</w:t>
      </w:r>
    </w:p>
    <w:p>
      <w:r>
        <w:t>FR: NE_GERICHTE ARMP.2019.40 du 5 février 2019</w:t>
      </w:r>
    </w:p>
    <w:p>
      <w:r>
        <w:t>IT: NE_GERICHTE ARMP.2019.40 del 5 febbraio 2019</w:t>
      </w:r>
    </w:p>
    <w:p>
      <w:pPr>
        <w:pStyle w:val="Heading2"/>
      </w:pPr>
      <w:r>
        <w:t>Regeste</w:t>
      </w:r>
    </w:p>
    <w:p>
      <w:r>
        <w:t>Séquestre d’un véhicule à des fins de confiscation.</w:t>
      </w:r>
    </w:p>
    <w:p>
      <w:pPr>
        <w:pStyle w:val="Heading2"/>
      </w:pPr>
      <w:r>
        <w:t>Erwägungen</w:t>
      </w:r>
    </w:p>
    <w:p>
      <w:r>
        <w:rPr>
          <w:b/>
        </w:rPr>
        <w:t>E. 1</w:t>
      </w:r>
    </w:p>
    <w:p>
      <w:r>
        <w:t>________, né en 1989, a été contrôlé par une patrouille de police à Hauterive, alors qu’il circulait au volant du véhicule de marque et type Mazda 6 immatriculé NEXXXXXX au nom de son demi-frère X</w:t>
      </w:r>
    </w:p>
    <w:p>
      <w:r>
        <w:rPr>
          <w:b/>
        </w:rPr>
        <w:t>E. 2</w:t>
      </w:r>
    </w:p>
    <w:p>
      <w:r>
        <w:t>________ et ne dispose que d’un intérêt de fait à l’annulation de l’ordonnance querellée. En tout état de cause, supposé recevable, le recours de X 1 ________ devrait être rejeté pour les raisons développées ci-après.</w:t>
      </w:r>
    </w:p>
    <w:p>
      <w:r>
        <w:rPr>
          <w:b/>
        </w:rPr>
        <w:t>E. 3</w:t>
      </w:r>
    </w:p>
    <w:p>
      <w:r>
        <w:t>a) Selon l’article 263 alinéa 1 lettre d CPP , des objets ou des valeurs patrimoniales appartenant au prévenu ou à des tiers peuvent être mis sous séquestre, lorsqu’il est probable qu’ils devront être confisqués. L’article 263 alinéa 2 CPP prévoit que le séquestre est ordonné par voie d’ordonnance écrite, brièvement motivée et qu’il peut être ordonné oralement en cas d’urgence, l’ordre devant toutefois être par la suite confirmé par écrit. La notification de l’ordonnance de séquestre intervient lors de sa remise au destinataire (art. 85 al. 3 CPP). b) En l’espèce, l’ordonnance litigieuse est motivée par le fait que X 1 ________ a circulé à plusieurs reprises au volant de la Mazda 6 immatriculée NEXXXXXX, alors qu’il était sous le coup d’une mesure administrative et sous l’emprise de stupéfiants.</w:t>
      </w:r>
    </w:p>
    <w:p>
      <w:r>
        <w:rPr>
          <w:b/>
        </w:rPr>
        <w:t>E. 4</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sur l’article 263 alinéa 1 lettre d CPP, disposition selon laquelle peuvent être séquestrés les objets et les valeurs patrimoniales « lorsqu’il est probable qu’ils devront être confisqués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La confiscation et la réalisation des véhicules automobiles ayant servi à commettre des infractions à la loi fédérale du 19 décembre 1958 sur la circulation routière (LCR ; RS 741.01) sont régies par l’article 90 a de cette loi. Cette disposition est entrée en vigueur le 1 er janvier 2013, dans le cadre du programme d’action de la Confédération « Via sicura »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 L’introduction de l’article 90 a LCR vise ainsi à réglementer la question de manière uniforme, comme demandé via quatre interventions parlementaires (Message, p. 7740 ; arrêt du TF du 05.12.2013 [1B_113/2013] cons. 3.2).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 La question de savoir si l’article 90 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 ARMP.2017.124 ] du 29.11.2017 cons. 2). Aux termes du texte clair de l’article 263 al. 1 let. d CPP ,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 ATF 140 IV 133 cons. 3.5).</w:t>
      </w:r>
    </w:p>
    <w:p>
      <w:r>
        <w:rPr>
          <w:b/>
        </w:rPr>
        <w:t>E. 5</w:t>
      </w:r>
    </w:p>
    <w:p>
      <w:r>
        <w:t>Au stade de l’examen de la légitimité du séquestre, le cas d’espèce peut être qualifié à première vue d’exceptionnel. Dans cette mesure, il n’est pas d’emblée manifeste et indubitable que les conditions matérielles d’une confiscation du véhicule litigieux ne sont pas réalisées et ne pourront l’être. En effet, selon la jurisprudence, le fait de conduire un véhicule automobile sans être titulaire du permis y relatif (art. 95 al. 1 let. a LCR) constitue une faute grave pouvant, le cas échéant, entraîner la confiscation d'un véhicule ; tel peut notamment être le cas lorsque la personne en cause a été condamnée pour ce même motif une première fois, mais a continué à conduire sans permis, se faisant contrôler à deux reprises par la police (arrêt du TF du 05.06.2018 [1B_556/2017] cons. 4.2 et l’arrêt cité). En l’occurrence, il ressort du dossier que X 1 ________ a été condamné le 27 mai 2013 par le Ministère public de l’arrondissement du Nord vaudois à une peine pécuniaire de 150 jours-amende à 50 francs avec sursis pendant trois ans et à une amende de 2'000 francs pour violation grave des règles de la circulation routière commise le 21 janvier 2013 (v. extrait de casier judiciaire du 26.03.2019) ; qu’en plus de celle relative aux infractions commises les 5 février (v. supra Faits, let. A) et 25 mars 2019 (v. supra Faits, let. C), deux procédures pénales sont actuellement pendantes contre X 1 ________, ouvertes respectivement les 19 novembre et 14 décembre 2018 pour conduite d’un véhicule automobile malgré le retrait, le refus ou l’interdiction d’usage du permis, d’une part, et dans l’incapacité de conduire, d’autre part (extrait de casier judiciaire du 26.03.2019). De plus, l’inaptitude à la conduite de X 1 ________ résulte du fait que suite à un accident survenu le 2 septembre 2018, une interdiction de conduire lui a été notifiée et son permis de conduire à l’essai – échu depuis le 20 septembre 2017 – a été saisi par la police. Au stade de l’examen de la légitimité du séquestre, ne pas considérer qu’un véhicule automobile puisse représenter, entre les mains de X 1 ________, un danger sérieux pour la sécurité du trafic, entrerait en contradiction avec la situation administrative de l’intéressé. Compte tenu de l’ensemble de ces éléments, il n’est pas d’emblée exclu que l’infraction à l’origine de la présente procédure puisse être qualifiée de grave, au sens de la jurisprudence ci-dessus, par le magistrat appelé à statuer sur la confiscation du véhicule litigieux. Cela l’est d’autant moins que l’enchaînement des infractions de même type laisse craindre une probable récidive. À cela s’ajoute que les sanctions pénales et administratives dont X 1 ________ a fait l’objet ne l’ont pas dissuadé de récidiver ; que le prénommé n’évolue pas dans le sens d’une remise en question ; que compte tenu des résultats de son expertise toxicologique, le Centre universitaire romand de médecine légale concluait son rapport du 11 mars 2019 en recommandant à l’intention de l’autorité administrative compétente qu’une évaluation de l’aptitude à conduire de X 1 ________ soit effectuée.</w:t>
      </w:r>
    </w:p>
    <w:p>
      <w:r>
        <w:rPr>
          <w:b/>
        </w:rPr>
        <w:t>E. 6</w:t>
      </w:r>
    </w:p>
    <w:p>
      <w:r>
        <w:t>a) Conformément au principe de la proportionnalité ancré à l’article 36 al. 3 Cst. féd., il convient d'examiner les possibilités de mettre en œuvre d'autres solutions moins dommageables que le séquestre (règle de la nécessité). b) En l’espèce, il est manifeste que la remise du véhicule litigieux à son détenteur X 2 ________ n’est pas propre à garantir que X 1 ________ n’utilisera plus ce véhicule à l’avenir. Premièrement, en sa qualité de proche parent de X 1 ________, X 2 ________ sera évidemment tenté de céder aux demandes tendant à lui laisser conduire sa voiture que X 1 ________ ne manquera pas de lui faire et c’est là un risque inacceptable, compte tenu des intérêts en jeu en termes de sécurité publique. Deuxièmement, malgré l’engagement pris par X 2 ________ dans son recours, X 1 ________ est susceptible d’échapper à la vigilance de son frère. Troisièmement, l’engagement précité n’est pas crédible, à mesure que l’interrogatoire de X 2 ________ en qualité de prévenu par la police en date du 7 février 2019 ne l’a pas incité à mettre en œuvre des mesures propres à éviter que X 1 ________ ne puisse utiliser le véhicule litigieux à sa guise. Quatrièmement, le rôle de X 2 ________ dans cette affaire s’apparente à celui d’un homme de paille ou détenteur fictif du véhicule litigieux. En effet, X 2 ________ a admis que X 1 ________ détenait à tout le moins une des deux clés de ce véhicule. Quant à X 1 ________, il a parlé de cette voiture comme s’il s’agissait de la sienne, en ce sens que c’est lui – et non X 2 ________ – qui décidait de son utilisation (« normalement, je ne roule pas avec cette voiture, je la laisse à mon petit frère, X 2 ________ » ; « [n]ormalement c’est mon autre frère A.________ qui la roule, il habite avec moi » ; « [j]’accepte la destruction ou la vente dudit véhicule NEXXXXXX »), d’une part, et qu’il avait contribué à son financement, contrairement à X 2 ________ (« Il n’a pas le permis. On lui avait acheté cette voiture pour le motiver à passer son permis »), d’autre part. Il ne ressort pas du dossier que X 2 ________ tire le moindre avantage du véhicule litigieux ; X 1 ________ a au contraire déclaré que X 2 ________ n’avait pas l’utilité de ce véhicule. À mesure que lors de son interrogatoire du 25 mars 2019, X 1 ________ a déclaré avoir pris les clés et être parti au volant de ce véhicule parce qu’il « étai[t] pressé d’aller travailler à Z.________ », on en conclut à tout le moins qu’il savait où se trouvaient les clés et où était garée la voiture. Ces déclarations sont aussi particulièrement éclairantes sur le mépris que X 1 ________ porte aux sanctions pénales et aux injonctions administratives qui lui ont été adressées. En effet, pour se rendre de son domicile de Neuchâtel à son travail à Z.________, il eut été simple pour l’intéressé de prendre les transports publics ou un taxi, ou encore de demander à un tiers titulaire du permis de conduire de le véhiculer. C’est dire qu’aucune mesure autre que le séquestre pénal n’est apte à fournir la garantie que X 1 ________ ne conduise un véhicule en dépit de l’interdiction qui lui est faite.</w:t>
      </w:r>
    </w:p>
    <w:p>
      <w:r>
        <w:rPr>
          <w:b/>
        </w:rPr>
        <w:t>E. 7</w:t>
      </w:r>
    </w:p>
    <w:p>
      <w:r>
        <w:t>Vu l’ensemble de ce qui précède, les conditions du séquestre sont réalisées pour le véhicule en cause, à mesure que les conditions matérielles d’une confiscation ne sont nullement exclues et que le séquestre est proportionné. Les frais de la procédure de recours doivent être mis à la charge solidaire des recourants qui succombent (art. 428 al. 1 CPP et 39 du Décret fixant le tarif des frais, des émoluments de chancellerie et des dépens en matière civile, pénale et administrative [TFrais, RSN 164.1])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