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ARMP.2018.93 vom 17. August 2018</w:t>
      </w:r>
    </w:p>
    <w:p>
      <w:r>
        <w:t>NE Tribunal cantonal, 2018-08-17, FR</w:t>
      </w:r>
    </w:p>
    <w:p>
      <w:r>
        <w:rPr>
          <w:b/>
        </w:rPr>
        <w:t xml:space="preserve">Quelle: </w:t>
      </w:r>
      <w:r>
        <w:t>https://mcp.opencaselaw.ch/entscheid/ne_gerichte_ARMP.2018.93</w:t>
      </w:r>
    </w:p>
    <w:p>
      <w:r>
        <w:t>FR: NE_GERICHTE ARMP.2018.93 du 17 août 2018</w:t>
      </w:r>
    </w:p>
    <w:p>
      <w:r>
        <w:t>IT: NE_GERICHTE ARMP.2018.93 del 17 agosto 2018</w:t>
      </w:r>
    </w:p>
    <w:p>
      <w:pPr>
        <w:pStyle w:val="Heading2"/>
      </w:pPr>
      <w:r>
        <w:t>Erwägungen</w:t>
      </w:r>
    </w:p>
    <w:p>
      <w:r>
        <w:rPr>
          <w:b/>
        </w:rPr>
        <w:t>E. 10</w:t>
      </w:r>
    </w:p>
    <w:p>
      <w:r>
        <w:t>jours requise par le Ministère public, soit jusquau 23 août 2018 à 16 heures.</w:t>
      </w:r>
    </w:p>
    <w:p>
      <w:r>
        <w:t>4.Arrête les frais du présent arrêt à 700 francs et les met à la charge deC.________, sous réserve des règles sur l'assistance judiciaire.</w:t>
      </w:r>
    </w:p>
    <w:p>
      <w:r>
        <w:t>5.Invite Me F.________ à fournir, dans un délai de 10 jours dès notification de l'arrêt, la liste de ses opérations effectuées dans le cadre du recours et l'informe qu'à défaut, il sera statué sur son indemnité d'avocat d'office au vu du dossier.</w:t>
      </w:r>
    </w:p>
    <w:p>
      <w:r>
        <w:t>6.Notifie le présent arrêt àC.________par Me F.________, (anticipé par fax), au Ministère public, Parquet régional de Neuchâtel, Tunnels 2 (MP.2018.3890) (anticipé par fax) et au Tribunal des mesures de contrainte du Littoral et du Val-de-Travers (TMC.2018.106).</w:t>
      </w:r>
    </w:p>
    <w:p>
      <w:r>
        <w:t>Neuchâtel, le 17 août 2018</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