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ARMP.2018.155 vom 21. November 2018</w:t>
      </w:r>
    </w:p>
    <w:p>
      <w:r>
        <w:t>NE Tribunal cantonal, 2018-11-21, FR</w:t>
      </w:r>
    </w:p>
    <w:p>
      <w:r>
        <w:rPr>
          <w:b/>
        </w:rPr>
        <w:t xml:space="preserve">Quelle: </w:t>
      </w:r>
      <w:r>
        <w:t>https://mcp.opencaselaw.ch/entscheid/ne_gerichte_ARMP.2018.155_d20181121</w:t>
      </w:r>
    </w:p>
    <w:p>
      <w:r>
        <w:t>FR: NE_GERICHTE ARMP.2018.155 du 21 novembre 2018</w:t>
      </w:r>
    </w:p>
    <w:p>
      <w:r>
        <w:t>IT: NE_GERICHTE ARMP.2018.155 del 21 novembre 2018</w:t>
      </w:r>
    </w:p>
    <w:p>
      <w:pPr>
        <w:pStyle w:val="Heading2"/>
      </w:pPr>
      <w:r>
        <w:t>Regeste</w:t>
      </w:r>
    </w:p>
    <w:p>
      <w:r>
        <w:t>Non-entrée en matière. Corruption d'agents publics suisses et corruption privée.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Le recours doit dès lors être rejeté. Les frais judiciaires, avancés par le recourant, sont mis à la charge de ce dernier (art. 428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