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ARMP.2018.155 vom 20. August 2019</w:t>
      </w:r>
    </w:p>
    <w:p>
      <w:r>
        <w:t>NE Tribunal cantonal, 2019-08-20, FR</w:t>
      </w:r>
    </w:p>
    <w:p>
      <w:r>
        <w:rPr>
          <w:b/>
        </w:rPr>
        <w:t xml:space="preserve">Quelle: </w:t>
      </w:r>
      <w:r>
        <w:t>https://mcp.opencaselaw.ch/entscheid/ne_gerichte_ARMP.2018.155</w:t>
      </w:r>
    </w:p>
    <w:p>
      <w:r>
        <w:t>FR: NE_GERICHTE ARMP.2018.155 du 20 août 2019</w:t>
      </w:r>
    </w:p>
    <w:p>
      <w:r>
        <w:t>IT: NE_GERICHTE ARMP.2018.155 del 20 agosto 2019</w:t>
      </w:r>
    </w:p>
    <w:p>
      <w:pPr>
        <w:pStyle w:val="Heading2"/>
      </w:pPr>
      <w:r>
        <w:t>Erwägungen</w:t>
      </w:r>
    </w:p>
    <w:p>
      <w:r>
        <w:rPr>
          <w:b/>
        </w:rPr>
        <w:t>E. 7</w:t>
      </w:r>
    </w:p>
    <w:p>
      <w:r>
        <w:t>Le recours doit dès lors être rejeté. Les frais judiciaires, avancés par le recourant, sont mis à la charge de ce dernier (art. 428 al. 1 CPP).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