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ARMP.2018.110 vom 22. September 2018</w:t>
      </w:r>
    </w:p>
    <w:p>
      <w:r>
        <w:t>NE Tribunal cantonal, 2018-09-22, FR</w:t>
      </w:r>
    </w:p>
    <w:p>
      <w:r>
        <w:rPr>
          <w:b/>
        </w:rPr>
        <w:t xml:space="preserve">Quelle: </w:t>
      </w:r>
      <w:r>
        <w:t>https://mcp.opencaselaw.ch/entscheid/ne_gerichte_ARMP.2018.110_d20180922</w:t>
      </w:r>
    </w:p>
    <w:p>
      <w:r>
        <w:t>FR: NE_GERICHTE ARMP.2018.110 du 22 septembre 2018</w:t>
      </w:r>
    </w:p>
    <w:p>
      <w:r>
        <w:t>IT: NE_GERICHTE ARMP.2018.110 del 22 settembre 2018</w:t>
      </w:r>
    </w:p>
    <w:p>
      <w:pPr>
        <w:pStyle w:val="Heading2"/>
      </w:pPr>
      <w:r>
        <w:t>Regeste</w:t>
      </w:r>
    </w:p>
    <w:p>
      <w:r>
        <w:t>Ordonnance de non-entrée en matière. Séquestration et enlèvement. Abus d'autorité. Menaces. Contrainte.</w:t>
      </w:r>
    </w:p>
    <w:p>
      <w:pPr>
        <w:pStyle w:val="Heading2"/>
      </w:pPr>
      <w:r>
        <w:t>Erwägungen</w:t>
      </w:r>
    </w:p>
    <w:p>
      <w:r>
        <w:rPr>
          <w:b/>
        </w:rPr>
        <w:t>E. 1</w:t>
      </w:r>
    </w:p>
    <w:p>
      <w:r>
        <w:t>Celui qui, sans droit, aura arrêté une personne, l'aura retenue prisonnière, ou l'aura, de toute autre manière, privée de sa liberté,</w:t>
      </w:r>
    </w:p>
    <w:p>
      <w:r>
        <w:t>celui qui, en usant de violence, de ruse ou de menace, aura enlevé une personne,</w:t>
      </w:r>
    </w:p>
    <w:p>
      <w:r>
        <w:t>sera puni d'une peine privative de liberté de cinq ans au plus ou d'une peine pécuniaire.</w:t>
      </w:r>
    </w:p>
    <w:p>
      <w:r>
        <w:rPr>
          <w:b/>
        </w:rPr>
        <w:t>E. 2</w:t>
      </w:r>
    </w:p>
    <w:p>
      <w:r>
        <w:t>Encourra la même peine celui qui aura enlevé une personne incapable de discernement ou de résistance ou âgée de moins de seize ans.</w:t>
      </w:r>
    </w:p>
    <w:p>
      <w:r>
        <w:t>1Nouvelle teneur selon le ch. I de la LF du 9 oct. 1981, en vigueur depuis le 1eroct. 1982 (RO19821530; FF1980I 1216).</w:t>
      </w:r>
    </w:p>
    <w:p>
      <w:r>
        <w:t>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rPr>
          <w:b/>
        </w:rPr>
        <w:t>E. 4</w:t>
      </w:r>
    </w:p>
    <w:p>
      <w:r>
        <w:t>Vu l’ensemble de ce qui précède, le recours doit être rejeté, aux frais de son auteur (art. 428 al. 1 CPP). Pour tenir compte de la situation personnelle du recourant telle qu’elle ressort du dossier, les frais de la présente procédure seront arrêtés au montant minimal prévu par l’article 39 du Décret fixant le tarif des frais, des émoluments de chancellerie et des dépens en matière civile, pénale et administrative ( TFrais , RSN 164.1), quand bien même le Ministère public avait informé X.________ que des frais pouvaient être mis à la charge de l’auteur d’un recours, même en cas de rejet partiel.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