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ARMP.2017.141 vom 16. April 2018</w:t>
      </w:r>
    </w:p>
    <w:p>
      <w:r>
        <w:t>NE Tribunal cantonal, 2018-04-16, FR</w:t>
      </w:r>
    </w:p>
    <w:p>
      <w:r>
        <w:rPr>
          <w:b/>
        </w:rPr>
        <w:t xml:space="preserve">Quelle: </w:t>
      </w:r>
      <w:r>
        <w:t>https://mcp.opencaselaw.ch/entscheid/ne_gerichte_ARMP.2017.141</w:t>
      </w:r>
    </w:p>
    <w:p>
      <w:r>
        <w:t>FR: NE_GERICHTE ARMP.2017.141 du 16 avril 2018</w:t>
      </w:r>
    </w:p>
    <w:p>
      <w:r>
        <w:t>IT: NE_GERICHTE ARMP.2017.141 del 16 aprile 2018</w:t>
      </w:r>
    </w:p>
    <w:p>
      <w:pPr>
        <w:pStyle w:val="Heading2"/>
      </w:pPr>
      <w:r>
        <w:t>Erwägungen</w:t>
      </w:r>
    </w:p>
    <w:p>
      <w:r>
        <w:rPr>
          <w:b/>
        </w:rPr>
        <w:t>E. 1</w:t>
      </w:r>
    </w:p>
    <w:p>
      <w:r>
        <w:t>si le prévenu, malgré l'invitation de la direction de la procédure, ne désigne pas de défenseur privé,</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jours-amende.1</w:t>
      </w:r>
    </w:p>
    <w:p>
      <w:r>
        <w:t>1Nouvelle teneur selon le ch. 3 de l'annexe à la LF du 19 juin 2015 (Réforme du droit des sanctions), en vigueur depuis le 1erjanv. 2018 (RO20161249;FF20124385).</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rPr>
          <w:b/>
        </w:rPr>
        <w:t>E. 21</w:t>
      </w:r>
    </w:p>
    <w:p>
      <w:r>
        <w:t>ss ad art. 159 CPP]). 5. Vu ce qui précède, le recours doit être rejeté, dans la mesure de sa recevabilité. Les frais de la procédure doivent être mis à la charge du recourant qui succombe (art. 428 al. 1 CPP). Ces frais seront réduits pour tenir compte de la situation financière apparemment obérée de X.________ (art.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