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ARMP.2015.98 vom 7. September 2015</w:t>
      </w:r>
    </w:p>
    <w:p>
      <w:r>
        <w:t>NE Tribunal cantonal, 2015-09-07, FR</w:t>
      </w:r>
    </w:p>
    <w:p>
      <w:r>
        <w:rPr>
          <w:b/>
        </w:rPr>
        <w:t xml:space="preserve">Quelle: </w:t>
      </w:r>
      <w:r>
        <w:t>https://mcp.opencaselaw.ch/entscheid/ne_gerichte_ARMP.2015.98</w:t>
      </w:r>
    </w:p>
    <w:p>
      <w:r>
        <w:t>FR: NE_GERICHTE ARMP.2015.98 du 7 septembre 2015</w:t>
      </w:r>
    </w:p>
    <w:p>
      <w:r>
        <w:t>IT: NE_GERICHTE ARMP.2015.98 del 7 settembre 2015</w:t>
      </w:r>
    </w:p>
    <w:p>
      <w:pPr>
        <w:pStyle w:val="Heading2"/>
      </w:pPr>
      <w:r>
        <w:t>Erwägungen</w:t>
      </w:r>
    </w:p>
    <w:p>
      <w:r>
        <w:rPr>
          <w:b/>
        </w:rPr>
        <w:t>E. 1</w:t>
      </w:r>
    </w:p>
    <w:p>
      <w:r>
        <w:t>Interjeté dans les formes et délai légaux, le recours est recevable.</w:t>
      </w:r>
    </w:p>
    <w:p>
      <w:r>
        <w:rPr>
          <w:b/>
        </w:rPr>
        <w:t>E. 2</w:t>
      </w:r>
    </w:p>
    <w:p>
      <w:r>
        <w:t>Saisie d'un recours, l'autorité de céans statue avec plein pouvoir d'examen (art. 391 CPP) et tous motifs – de droit, de fait et même selon le texte légal d'opportunité – peuvent être invoqués. Même si l'autorité de recours doit faire preuve d'un certaine réserve, elle n'est liée ni pas les motifs, ni par les conclusions des parties.</w:t>
      </w:r>
    </w:p>
    <w:p>
      <w:r>
        <w:rPr>
          <w:b/>
        </w:rPr>
        <w:t>E. 3</w:t>
      </w:r>
    </w:p>
    <w:p>
      <w:r>
        <w:t>Les accusations de A. et B., couronnées à chaque fois par un jugement de condamnation des accusateurs, suffisent à fonder de forts soupçons que le recourant est impliqué dans un trafic de stupéfiants d'une certaine importance. La première condition à une mise en détention provisoire, qui n'est à juste titre pas contestée, est satisfaite (art. 221 al. 1 CPP ).</w:t>
      </w:r>
    </w:p>
    <w:p>
      <w:r>
        <w:rPr>
          <w:b/>
        </w:rPr>
        <w:t>E. 4</w:t>
      </w:r>
    </w:p>
    <w:p>
      <w:r>
        <w:t>«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 (art. 221 al. 1 let. b CPP ).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Selon la jurisprudence, de tels indices peuvent résulter du comportement adopté par le prévenu dans la procédure pénale, de ses caractéristiques personnelles, de sa position et de son rôle dans l'infraction, comme aussi de ses relations avec les personnes qui l'accusent. Entrent également en considération la nature et l'importance des déclarations, respectivement des moyens de preuve susceptibles d'être menacés, la gravité des infractions en cause et le stade de la procédure. Lorsque la procédure pénale se trouve dans une phase avancée et si les faits ont déjà été clarifiés de manière précise, les exigences pour démontrer un risque de collusion doivent être appréciées plus sévèrement » (arrêt du TF [1B_340/2013] du 17.10.2013 , cons. 3.1 et références citées; voir également arrêt du TF du 12.11.2014 [1B_354/2014] , cons. 3.1). En l'espèce, ni la requête de mise en détention provisoire ni la décision du tribunal des mesures de contrainte ne précisent d'aucune manière quels seraient concrètement, au-delà de ceux inhérents à toute instruction portant sur un trafic de stupéfiants, les risques de collusion particuliers que la non-détention du recourant ferait courir. Aucun acte d'instruction précis, susceptible d'être compromis par le recourant, n'est mentionné, l'instruction à venir restant décrite en termes très généraux. Annoncés, « les éléments en possession des enquêteurs » ne sont pas exposés, serait-ce succinctement, et ne ressortent pas du dossier, ni non plus la manière dont on entend s’y prendre pour identifier les personnes dont on attend qu’elles « mettront en cause » le recourant. Dans la mesure où les deux accusateurs connus de X. ont été condamnés pour les faits qui impliquent le recourant, un risque de collusion entre les premiers et le deuxième est désormais inexistant. Reste le fournisseur supposé du recourant, le dénommé C., dont le dossier ne dit rien : on ignore s’il fait lui-même déjà ou non l’objet d’une instruction, neuchâteloise ou plus probablement bernoise (il serait actif à Z. (BE)), s’il a été ou non entendu dans une autre instruction ou s’il va l’être à bref délai pour celle-ci, ou encore s’il serait lui-même détenu, ce qui serait de nature à nettement réduire le risque de collusion entre le recourant et lui.</w:t>
      </w:r>
    </w:p>
    <w:p>
      <w:r>
        <w:rPr>
          <w:b/>
        </w:rPr>
        <w:t>E. 5</w:t>
      </w:r>
    </w:p>
    <w:p>
      <w:r>
        <w:t>Aux notables imprécisions du dossier, quant au réel risque de collusion que la mesure contestée devrait écarter, s’ajoute la circonstance toute particulière que le recourant est déjà détenu à un autre titre, soit pour exécuter 365 jours de peine privative de liberté résultant de diverses condamnations précédentes. Cette circonstance ne peut être ignorée et doit être prise en compte à l’occasion de l’examen des mesures de substitution à la détention préventive qu’il serait possible de prendre, en application de l’article 237 CPP (arrêt du TF du 12.04.2012 [1B_165/2012 ] cons. 2). Il est vrai, comme le relève le Ministère public, que les régimes de détention provisoire et d’exécution de peine, même s’il arrive qu’ils cohabitent au sein d’un même établissement de détention, ne sont pas identiques. En particulier, ils se distinguent par les contacts que les détenus peuvent ou non avoir avec l’extérieur (visites, téléphones notamment), qui sont soumis à l’autorisation du magistrat en charge de la cause en cas de détention provisoire (art. 67 al.3, 69 al. 3 LPMPA). Rien n’empêche, dans le cas particulier et au titre de mesures de substitution, de soumettre le recourant, bien qu’en régime d’exécution de peine, aux restrictions applicables aux détenus en détention provisoire, dans ses contacts avec l’extérieur. Il est vrai que, de la sorte, on n’évitera pas complètement la possibilité qu'il tente de contourner ces restrictions en sollicitant l’assistance de l’un ou l’autre codétenu. L’hypothèse paraît toutefois peu probable : dans sa situation, le recourant a tout avantage à n’entrer en contact avec aucune des personnes éventuellement susceptibles de le mettre en cause, précisément pour ne pas attirer l’attention des enquêteurs sur leur existence. Au demeurant, le risque de collusion étant tout sauf clairement circonscrit (voir cons. 4 ci-dessus), le principe de proportionnalité qui gouverne l’adoption de mesures de substitution conduit dans le cas particulier à devoir s’accommoder du risque, limité, d’un contact indirect – et de ce fait, quoi qu’il en soit, nécessairement imparfait – entre le recourant et des tiers pour l’heure inconnus.</w:t>
      </w:r>
    </w:p>
    <w:p>
      <w:r>
        <w:rPr>
          <w:b/>
        </w:rPr>
        <w:t>E. 6</w:t>
      </w:r>
    </w:p>
    <w:p>
      <w:r>
        <w:t>Il résulte de ce qui précède que le recours doit être admis, en ce sens qu’il doit être mis fin au régime de détention provisoire de X., celui restant désormais détenu en régime d’exécution de peine conformément à l'ordre d'exécution du 17 août 2015, ses contacts avec l’extérieur étant toutefois soumis aux mêmes restrictions que celles valant pour un détenu à titre provisoire.</w:t>
      </w:r>
    </w:p>
    <w:p>
      <w:r>
        <w:rPr>
          <w:b/>
        </w:rPr>
        <w:t>E. 7</w:t>
      </w:r>
    </w:p>
    <w:p>
      <w:r>
        <w:t>Le présent arrêt rend sans objet la requête d’effet suspensif qui accompagnait le recours.</w:t>
      </w:r>
    </w:p>
    <w:p>
      <w:r>
        <w:rPr>
          <w:b/>
        </w:rPr>
        <w:t>E. 8</w:t>
      </w:r>
    </w:p>
    <w:p>
      <w:r>
        <w:t>Vu le sort réservé au recours, les frais de la procédure seront pris en charge par l’Etat. L’assistance judiciaire demandée par le recourant lui est accordée. La rémunération de son défenseur d'office sera fixée par voie de décision séparée, Me D. étant invité à déposer son mémoire dans les 10 jours, faute de quoi il sera statué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