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ARMP.2015.96 vom 13. Januar 2011</w:t>
      </w:r>
    </w:p>
    <w:p>
      <w:r>
        <w:t>NE Tribunal cantonal, 2011-01-13, FR</w:t>
      </w:r>
    </w:p>
    <w:p>
      <w:r>
        <w:rPr>
          <w:b/>
        </w:rPr>
        <w:t xml:space="preserve">Quelle: </w:t>
      </w:r>
      <w:r>
        <w:t>https://mcp.opencaselaw.ch/entscheid/ne_gerichte_ARMP.2015.96_d20110113</w:t>
      </w:r>
    </w:p>
    <w:p>
      <w:r>
        <w:t>FR: NE_GERICHTE ARMP.2015.96 du 13 janvier 2011</w:t>
      </w:r>
    </w:p>
    <w:p>
      <w:r>
        <w:t>IT: NE_GERICHTE ARMP.2015.96 del 13 gennaio 2011</w:t>
      </w:r>
    </w:p>
    <w:p>
      <w:pPr>
        <w:pStyle w:val="Heading2"/>
      </w:pPr>
      <w:r>
        <w:t>Regeste</w:t>
      </w:r>
    </w:p>
    <w:p>
      <w:r>
        <w:t>Ordonnance de classement. Probabilité d'acquittement en cas de preuve de la vérité ou de la bonne foi.</w:t>
      </w:r>
    </w:p>
    <w:p>
      <w:pPr>
        <w:pStyle w:val="Heading2"/>
      </w:pPr>
      <w:r>
        <w:t>Erwägungen</w:t>
      </w:r>
    </w:p>
    <w:p>
      <w:r>
        <w:rPr>
          <w:b/>
        </w:rPr>
        <w:t>E. 1</w:t>
      </w:r>
    </w:p>
    <w:p>
      <w:r>
        <w:t>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rPr>
          <w:b/>
        </w:rPr>
        <w:t>E. 2</w:t>
      </w:r>
    </w:p>
    <w:p>
      <w:r>
        <w:t>L'inculpé n'encourra aucune peine s'il prouve que les allégations qu'il a articulées ou propagées sont conformes à la vérité ou qu'il avait des raisons sérieuses de les tenir de bonne foi pour vraies.</w:t>
      </w:r>
    </w:p>
    <w:p>
      <w:r>
        <w:rPr>
          <w:b/>
        </w:rPr>
        <w:t>E. 3</w:t>
      </w:r>
    </w:p>
    <w:p>
      <w:r>
        <w:t>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rPr>
          <w:b/>
        </w:rPr>
        <w:t>E. 4</w:t>
      </w:r>
    </w:p>
    <w:p>
      <w:r>
        <w:t>Si l'auteur reconnaît la fausseté de ses allégations et les rétracte, le juge pourra atténuer la peine ou exempter le délinquant de toute peine.</w:t>
      </w:r>
    </w:p>
    <w:p>
      <w:r>
        <w:rPr>
          <w:b/>
        </w:rPr>
        <w:t>E. 5</w:t>
      </w:r>
    </w:p>
    <w:p>
      <w:r>
        <w:t>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expression selon le ch. II 1 al. 13 de la LF du 13 déc. 2002, en vigueur depuis le 1erjanv. 2007 (RO20063459;FF19991787). Il a été tenu compte de cette mod. dans tout le Livre.</w:t>
      </w:r>
    </w:p>
    <w:p>
      <w:r>
        <w:rPr>
          <w:b/>
        </w:rPr>
        <w:t>E. 6</w:t>
      </w:r>
    </w:p>
    <w:p>
      <w:r>
        <w:t>Il ressort de la jurisprudence du Tribunal fédéral que « l'article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 ATF 132 IV 112, cons. 2.1 et les références citées). Le chiffre 2 de cette disposition légale prévoit que l'inculpé n'encourra aucune peine s'il prouve que les allégations qu'il a articulées ou propagées sont conformes à la vérité ou qu'il avait des raisons sérieuses de les tenir de bonne foi pour vraies. Selon le chiffre 3, il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 ou à la vie de famille. Selon l'arrêt précité du Tribunal fédéral, « la jurisprudence et la doctrine interprètent de manière restrictive les conditions énoncées à l'article 173 ch. 3 CP .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(et ce, même si sa déclaration n'est pas fondée sur un motif suffisant) » (cons.3.1 et les références citées). En l'espèce, la plainte pénale déposée par les recourants à l'encontre du prévenu le 23 novembre 2011 faisait état d'une plainte déposée par celui-ci, dans laquelle il aurait déclaré que les recourants avaient induit la justice mauricienne en erreur, qu'il était le père de A. et que cette dernière avait donc été kidnappée. Le courriel adressé par l'intéressé aux autorités mauriciennes le 16 novembre 2011 ne dit rien de tel et n'accuse nullement les recourants de kidnapping. Le soupçon d'une possible fraude concernant le permis de A., considérée comme la fille de C.X., pouvait être avancé par le prévenu puisqu'il ressort du dossier que le permis de résidence accordé à C.X. le 26 juillet 2011 mentionnait en effet  A. comme étant sa fille. Le prévenu n'a donc rien articulé de contraire à la vérité à ce sujet. Quant à l'affirmation selon laquelle « B.X. a ensuite réussi à changer le nom de A. en A.X. lorsqu'elle s'est mariée avec C.X., procédure que les autorités suisses ne parviennent pas à expliquer, car A. aurait dû garder le nom de E. malgré le mariage de sa maman, on peut considérer que le prévenu serait admis à (et en mesure de) faire la preuve de sa bonne foi à ce sujet. En effet, rien n'indique que la décision du Conseiller d'Etat, chef du Département de la justice, de la sécurité et des finances du 10 juillet 2008 autorisant A.E. à changer de nom et à porter celui de A.X. aurait été communiquée au prévenu. La liste de distribution de celle-ci ne le mentionne pas et, au vu de l'état particulièrement dégradé des relations entre les parties, il est fort improbable que la mère de l'enfant ait informé le prévenu de ce changement de nom. On peut de même admettre que le prévenu serait recevable et à même de faire la preuve de sa bonne foi concernant l'assertion selon laquelle « par le passé déjà, B.X. a cherché à usurper l'identité de A. en faisant passer A. pour la fille de C.X.». Au vu des mentions erronées concernant le lien de filiation entre A. et C.X. contenues dans le permis de résidence accordé à ce dernier par les autorités mauriciennes – erreur que les recourants ont provoquée, ou à tout le moins, n'ont pas rectifiée – il est plausible que la mère de l'enfant ait déjà, par le passé, tenté de faire passer A. pour la fille de son nouveau conjoint. On peut donc estimer que la probabilité d'un acquittement du prévenu – si celui-ci était renvoyé devant un tribunal de jugement – serait bien supérieure à celle d'une condamnation, d'autant plus que l'autorité judiciaire prendrait certainement en compte le comportement postérieur des recourants qui dissimulent leur lieu de domicile, privant ainsi le prévenu de tout contact avec sa fille – et même de toutes nouvelles de celles-ci – depuis plusieurs années. La décision de classement de la procédure échappe donc à la critique.</w:t>
      </w:r>
    </w:p>
    <w:p>
      <w:r>
        <w:rPr>
          <w:b/>
        </w:rPr>
        <w:t>E. 7</w:t>
      </w:r>
    </w:p>
    <w:p>
      <w:r>
        <w:t>Mal fondé, le recours doit être rejeté, les frais judiciaires, avancés par les recourants, étant laissés à la charge de ceux-ci, sans allocation de dépens, le prévenu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