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ARMP.2015.96 vom 5. Januar 2016</w:t>
      </w:r>
    </w:p>
    <w:p>
      <w:r>
        <w:t>NE Tribunal cantonal, 2016-01-05, FR</w:t>
      </w:r>
    </w:p>
    <w:p>
      <w:r>
        <w:rPr>
          <w:b/>
        </w:rPr>
        <w:t xml:space="preserve">Quelle: </w:t>
      </w:r>
      <w:r>
        <w:t>https://mcp.opencaselaw.ch/entscheid/ne_gerichte_ARMP.2015.96</w:t>
      </w:r>
    </w:p>
    <w:p>
      <w:r>
        <w:t>FR: NE_GERICHTE ARMP.2015.96 du 5 janvier 2016</w:t>
      </w:r>
    </w:p>
    <w:p>
      <w:r>
        <w:t>IT: NE_GERICHTE ARMP.2015.96 del 5 gennaio 2016</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rPr>
          <w:b/>
        </w:rPr>
        <w:t>E. 6</w:t>
      </w:r>
    </w:p>
    <w:p>
      <w:r>
        <w:t>Il ressort de la jurisprudence du Tribunal fédéral que « l'article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 ATF 132 IV 112, cons. 2.1 et les références citées). Le chiffre 2 de cette disposition légale prévoit que l'inculpé n'encourra aucune peine s'il prouve que les allégations qu'il a articulées ou propagées sont conformes à la vérité ou qu'il avait des raisons sérieuses de les tenir de bonne foi pour vraies. Selon le chiffre 3, il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 ou à la vie de famille. Selon l'arrêt précité du Tribunal fédéral, « la jurisprudence et la doctrine interprètent de manière restrictive les conditions énoncées à l'article 173 ch. 3 CP .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(et ce, même si sa déclaration n'est pas fondée sur un motif suffisant) » (cons.3.1 et les références citées). En l'espèce, la plainte pénale déposée par les recourants à l'encontre du prévenu le 23 novembre 2011 faisait état d'une plainte déposée par celui-ci, dans laquelle il aurait déclaré que les recourants avaient induit la justice mauricienne en erreur, qu'il était le père de A. et que cette dernière avait donc été kidnappée. Le courriel adressé par l'intéressé aux autorités mauriciennes le 16 novembre 2011 ne dit rien de tel et n'accuse nullement les recourants de kidnapping. Le soupçon d'une possible fraude concernant le permis de A., considérée comme la fille de C.X., pouvait être avancé par le prévenu puisqu'il ressort du dossier que le permis de résidence accordé à C.X. le 26 juillet 2011 mentionnait en effet  A. comme étant sa fille. Le prévenu n'a donc rien articulé de contraire à la vérité à ce sujet. Quant à l'affirmation selon laquelle « B.X. a ensuite réussi à changer le nom de A. en A.X. lorsqu'elle s'est mariée avec C.X., procédure que les autorités suisses ne parviennent pas à expliquer, car A. aurait dû garder le nom de E. malgré le mariage de sa maman, on peut considérer que le prévenu serait admis à (et en mesure de) faire la preuve de sa bonne foi à ce sujet. En effet, rien n'indique que la décision du Conseiller d'Etat, chef du Département de la justice, de la sécurité et des finances du 10 juillet 2008 autorisant A.E. à changer de nom et à porter celui de A.X. aurait été communiquée au prévenu. La liste de distribution de celle-ci ne le mentionne pas et, au vu de l'état particulièrement dégradé des relations entre les parties, il est fort improbable que la mère de l'enfant ait informé le prévenu de ce changement de nom. On peut de même admettre que le prévenu serait recevable et à même de faire la preuve de sa bonne foi concernant l'assertion selon laquelle « par le passé déjà, B.X. a cherché à usurper l'identité de A. en faisant passer A. pour la fille de C.X.». Au vu des mentions erronées concernant le lien de filiation entre A. et C.X. contenues dans le permis de résidence accordé à ce dernier par les autorités mauriciennes – erreur que les recourants ont provoquée, ou à tout le moins, n'ont pas rectifiée – il est plausible que la mère de l'enfant ait déjà, par le passé, tenté de faire passer A. pour la fille de son nouveau conjoint. On peut donc estimer que la probabilité d'un acquittement du prévenu – si celui-ci était renvoyé devant un tribunal de jugement – serait bien supérieure à celle d'une condamnation, d'autant plus que l'autorité judiciaire prendrait certainement en compte le comportement postérieur des recourants qui dissimulent leur lieu de domicile, privant ainsi le prévenu de tout contact avec sa fille – et même de toutes nouvelles de celles-ci – depuis plusieurs années. La décision de classement de la procédure échappe donc à la critique.</w:t>
      </w:r>
    </w:p>
    <w:p>
      <w:r>
        <w:rPr>
          <w:b/>
        </w:rPr>
        <w:t>E. 7</w:t>
      </w:r>
    </w:p>
    <w:p>
      <w:r>
        <w:t>Mal fondé, le recours doit être rejeté, les frais judiciaires, avancés par les recourants, étant laissés à la charge de ceux-ci, sans allocation de dépens, le prévenu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