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ARMP.2015.5 vom 25. Juni 2012</w:t>
      </w:r>
    </w:p>
    <w:p>
      <w:r>
        <w:t>NE Tribunal cantonal, 2012-06-25, FR</w:t>
      </w:r>
    </w:p>
    <w:p>
      <w:r>
        <w:rPr>
          <w:b/>
        </w:rPr>
        <w:t xml:space="preserve">Quelle: </w:t>
      </w:r>
      <w:r>
        <w:t>https://mcp.opencaselaw.ch/entscheid/ne_gerichte_ARMP.2015.5_d20120625</w:t>
      </w:r>
    </w:p>
    <w:p>
      <w:r>
        <w:t>FR: NE_GERICHTE ARMP.2015.5 du 25 juin 2012</w:t>
      </w:r>
    </w:p>
    <w:p>
      <w:r>
        <w:t>IT: NE_GERICHTE ARMP.2015.5 del 25 giugno 2012</w:t>
      </w:r>
    </w:p>
    <w:p>
      <w:pPr>
        <w:pStyle w:val="Heading2"/>
      </w:pPr>
      <w:r>
        <w:t>Regeste</w:t>
      </w:r>
    </w:p>
    <w:p>
      <w:r>
        <w:t>Capacité de postuler du même avocat pour la représentation de plusieurs prévenus.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Nouvelle teneur selon le ch. I de la LF du 23 juin 2006, en vigueur depuis le 1 er janv. 2007 ( RO 2006 4399 ; FF 2005 6207 ).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