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NE_GERICHTE ARMP.2015.48 vom 9. Januar 2015</w:t>
      </w:r>
    </w:p>
    <w:p>
      <w:r>
        <w:t>NE Tribunal cantonal, 2015-01-09, FR</w:t>
      </w:r>
    </w:p>
    <w:p>
      <w:r>
        <w:rPr>
          <w:b/>
        </w:rPr>
        <w:t xml:space="preserve">Quelle: </w:t>
      </w:r>
      <w:r>
        <w:t>https://mcp.opencaselaw.ch/entscheid/ne_gerichte_ARMP.2015.48_d20150109</w:t>
      </w:r>
    </w:p>
    <w:p>
      <w:r>
        <w:t>FR: NE_GERICHTE ARMP.2015.48 du 9 janvier 2015</w:t>
      </w:r>
    </w:p>
    <w:p>
      <w:r>
        <w:t>IT: NE_GERICHTE ARMP.2015.48 del 9 gennaio 2015</w:t>
      </w:r>
    </w:p>
    <w:p>
      <w:pPr>
        <w:pStyle w:val="Heading2"/>
      </w:pPr>
      <w:r>
        <w:t>Regeste</w:t>
      </w:r>
    </w:p>
    <w:p>
      <w:r>
        <w:t>Avocat de choix pressenti pour remplacer un avocat d'office (avec renonciation à l'AJ à la clef). Droit de cet avocat de rendre librement visite au prévenu détenu.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Nouvelle teneur selon le ch. I de la LF du 23 juin 2006, en vigueur depuis le 1 er janv. 2007 ( RO 2006 4399 ; FF 2005 6207 ).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