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ARMP.2014.40 vom 11. Dezember 2014</w:t>
      </w:r>
    </w:p>
    <w:p>
      <w:r>
        <w:t>NE Tribunal cantonal, 2014-12-11, FR</w:t>
      </w:r>
    </w:p>
    <w:p>
      <w:r>
        <w:rPr>
          <w:b/>
        </w:rPr>
        <w:t xml:space="preserve">Quelle: </w:t>
      </w:r>
      <w:r>
        <w:t>https://mcp.opencaselaw.ch/entscheid/ne_gerichte_ARMP.2014.40</w:t>
      </w:r>
    </w:p>
    <w:p>
      <w:r>
        <w:t>FR: NE_GERICHTE ARMP.2014.40 du 11 décembre 2014</w:t>
      </w:r>
    </w:p>
    <w:p>
      <w:r>
        <w:t>IT: NE_GERICHTE ARMP.2014.40 del 11 dicembre 2014</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Selon l'article 310 CPP , « le ministère public rend immédiatement une ordonnance de non-entrée en matière s'il ressort de la dénonciation ou du rapport de police: a. que les éléments constitutifs de l'infraction ou les conditions à l'ouverture de l'action pénale ne sont manifestement pas réunis », notamment. En d'autres termes, explique le Tribunal fédéral ([ 1B_454/2011] du 06.12.2011 , cons.3.2, reprenant les termes de l'ATF 137 IV 285 ), « il doit être évident que les faits dénoncés ne tombent pas sous le coup de la loi pénale, ce qui est notamment le cas lors de contestations purement civiles ( Esther Omlin , Commentaire Bâlois CPP 2010, no 9 ad art. 310). Un refus d'entrée en matière n'est possible que lorsque la situation est claire, en fait et en droit (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Il se justifie d'assimiler à une insuffisance de charges la situation dans laquelle il est déjà clair, vu l'état de fait connu, qu'aucune infraction n'a de chance d'être retenue, en cas de jugement (voir par exemple ARMP.2014.10, non publié). 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plainte pénale déposée par X., le 11 octobre 2013, pour des injures que A. aurait proférées à son encontre entre l'année 2011 et 2012 est tardive, car elle est intervenue plus de trois mois après les faits (art. 30 CP). Une non-entrée en matière était donc justifiée.</w:t>
      </w:r>
    </w:p>
    <w:p>
      <w:r>
        <w:rPr>
          <w:b/>
        </w:rPr>
        <w:t>E. 4</w:t>
      </w:r>
    </w:p>
    <w:p>
      <w:r>
        <w:t>S'agissant des préventions de menaces et de contrainte, la plaignante a déclaré que A. l'avait menacée de lui "casser ses affaires" s'il elle ne faisait pas ce qu'il voulait. Elle a expliqué que A. l'avait obligée, à réitérées reprises, à faire des nettoyages, parfois au milieu de la nuit lorsqu'elle rentrait du travail, l'empoignant afin qu'elle s'exécute. Elle a ajouté qu'il la surveillait lorsqu'elle était au travail et surveillait son téléphone portable. Il l'aurait également empêchée, à réitérées reprises, de sortir de l'appartement, l'enfermant dehors si elle y parvenait, ainsi qu'à l'intérieur de l'appartement à une reprise. Ces infractions – auxquelles on aurait pu ajouter la prévention de séquestration (art. 183 CP) – sont intégralement contestées par A. et aucun témoin ne semble avoir assisté à ces scènes. Les agents de police présents au domicile conjugal lors de leur intervention n'ont rien signalé. Quant au certificat médical établi le 22 octobre 2013 par le Dr C., il ne fait que relater les déclarations de la plaignante concernant les problèmes conjugaux. On ne voit pas quelles mesures d'instruction supplémentaires permettraient de mieux clarifier l'état de fait. C'est donc à juste titre que le ministère public a considéré qu'en l'absence de preuves, un tribunal amené à trancher cette question ne pourrait qu'acquitter le prévenu, la version la plus favorable au prénommé devant être retenue. Une non-entrée en matière se justifiait également pour ce motif.</w:t>
      </w:r>
    </w:p>
    <w:p>
      <w:r>
        <w:rPr>
          <w:b/>
        </w:rPr>
        <w:t>E. 5</w:t>
      </w:r>
    </w:p>
    <w:p>
      <w:r>
        <w:t>S'agissant des voies de fait que la plaignante reproche à A., il convient de distinguer les épisodes qui pourraient tomber sous le coup de cette disposition de celui de la Place du Port à Neuchâtel. X. a mentionné que A. l'avait empoignée des dizaines de fois, lui provoquant des marques sur les bras et qu'il l'avait à une reprise saisie par le cou en la faisant tomber sur le canapé. Ces évènements sont tous contestés par A. et n'ont pas été corroborés par des témoignages, étant donné qu'ils se sont produits dans un cadre strictement conjugal. Comme dit plus haut, le certificat médical du Dr C. ne fait que rapporter les déclarations de la plaignante et ne constitue pas un moyen de preuve suffisant pour conclure à la survenance, à réitérées reprises, de voies de fait à l'encontre de X. Quant au certificat du Dr B., il constate une importante perte de cheveux dont la cause est liée à un stress mais ne permet pas de tirer des conclusions quant à l'existence de violences conjugales. C'est donc avec raison que le Ministère public n'est pas entré en matière sur cette prévention.</w:t>
      </w:r>
    </w:p>
    <w:p>
      <w:r>
        <w:rPr>
          <w:b/>
        </w:rPr>
        <w:t>E. 6</w:t>
      </w:r>
    </w:p>
    <w:p>
      <w:r>
        <w:t>a) En revanche, il n’en va pas de même s'agissant de l'altercation qui s'est déroulée à la Place du Port à Neuchâtel, lors de laquelle A. aurait violemment tiré les cheveux de X. au point de lui en arracher une poignée, infraction que le Ministère public a qualifié de voies de fait (art. 126 CP ). En l'espèce, on rappellera que l'autorité de recours n'est pas liée par la qualification juridique retenue par le Ministère public et dispose d'un plein pouvoir de cognition. b) L'article 123 CP réprime les lésions du corps humain ou de la santé qui ne peuvent être qualifiées de graves au sens de l'article 122 CP. Cette disposition protège l'intégrité corporelle et la santé tant physique que psychique. Sous l'effet d'un choc ou au moyen d'un objet, l'auteur dégrade le corps humain d'autrui, que la lésion soit interne ou externe; il provoque une fracture, une foulure, une coupure ou toute autre altération constatable du corps humain (arrêt du TF du 07.02.2012 [6B_525/2011 ] , consid. 4.1).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(arrêt du TF du 19.06.2008 [6B_733/2007 ] , consid. 1.4). c) A l'inverse, les voies de fait (art. 126 CP ) se définissent comme des atteintes physiques qui excèdent ce qui est socialement toléré et qui ne causent ni lésion corporelle, ni dommage à la santé. A titre d'exemples de voies de fait, on peut citer la gifle, le coup de poing ou de pied, les fortes bourrades avec les mains ou les coudes.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(arrêt du TF du 07.02.2012 [6B_525/2011 ], consid. 4 .1). d) En l'espèce, le fait d'arracher une poignée de cheveux à une personne constitue une atteinte à l'intégrité physique, dès lors que la chevelure fait partie du corps humain. L'acte est de nature à provoquer une douleur intense et laisse des traces visibles, mettant à mal le sentiment de bien-être d'une personne. Les faits susmentionnés ont par ailleurs été admis par l'intéressé et sont confirmés par un témoin. Au vu de ce qui précède, on ne peut pas exclure que les éléments constitutifs de l'infraction de lésions corporelles simples, et non pas de seules voies de fait, soient réalisés, auquel cas, la poursuite a lieu d'office si l'auteur est le partenaire de la victime pour autant qu'ils fassent ménage commun. En l'espèce, les faits se sont déroulés en 2011, soit avant le mariage des parties alors qu'elles faisaient ménage commun, de sorte que la poursuite a lieu d'office (art. 123 ch. 2 al. 6 CP ). I l convient donc d'admettre le recours et de renvoyer la cause au Ministère public pour qu'il ouvre une instruction pénale à l'encontre de A. pour lésions corporelles simples au sens des considérants.</w:t>
      </w:r>
    </w:p>
    <w:p>
      <w:r>
        <w:rPr>
          <w:b/>
        </w:rPr>
        <w:t>E. 7</w:t>
      </w:r>
    </w:p>
    <w:p>
      <w:r>
        <w:t>Vu l'admission partielle du recours, les frais judiciaires seront laissés à la charge de l’Etat (art. 428 al. 4 CPP).</w:t>
      </w:r>
    </w:p>
    <w:p>
      <w:r>
        <w:rPr>
          <w:b/>
        </w:rPr>
        <w:t>E. 30</w:t>
      </w:r>
    </w:p>
    <w:p>
      <w:r>
        <w:t>CP). Une non-entrée en matière était donc justifiée.</w:t>
      </w:r>
    </w:p>
    <w:p>
      <w:r>
        <w:t>4.S'agissant des préventions de menaces et de contrainte, la plaignante a déclaré que A. l'avait menacée de lui "casser ses affaires" s'il elle ne faisait pas ce qu'il voulait. Elle a expliqué que A. l'avait obligée, à réitérées reprises, à faire des nettoyages, parfois au milieu de la nuit lorsqu'elle rentrait du travail, l'empoignant afin qu'elle s'exécute. Elle a ajouté qu'il la surveillait lorsqu'elle était au travail et surveillait son téléphone portable. Il l'aurait également empêchée, à réitérées reprises, de sortir de l'appartement, l'enfermant dehors si elle y parvenait, ainsi qu'à l'intérieur de l'appartement à une reprise. Ces infractions  auxquelles on aurait pu ajouter la prévention de séquestration (art. 183 CP)  sont intégralement contestées par A. et aucun témoin ne semble avoir assisté à ces scènes. Les agents de police présents au domicile conjugal lors de leur intervention n'ont rien signalé. Quant au certificat médical établi le 22 octobre 2013 par le Dr C., il ne fait que relater les déclarations de la plaignante concernant les problèmes conjugaux. On ne voit pas quelles mesures d'instruction supplémentaires permettraient de mieux clarifier l'état de fait. C'est donc à juste titre que le ministère public a considéré qu'en l'absence de preuves, un tribunal amené à trancher cette question ne pourrait qu'acquitter le prévenu, la version la plus favorable au prénommé devant être retenue. Une non-entrée en matière se justifiait également pour ce motif.</w:t>
      </w:r>
    </w:p>
    <w:p>
      <w:r>
        <w:t>5.S'agissant des voies de fait que la plaignante reproche à A., il convient de distinguer les épisodes qui pourraient tomber sous le coup de cette disposition de celui de la Place du Port à Neuchâtel. X. a mentionné que A. l'avait empoignée des dizaines de fois, lui provoquant des marques sur les bras et qu'il l'avait à une reprise saisie par le cou en la faisant tomber sur le canapé. Ces évènements sont tous contestés par A. et n'ont pas été corroborés par des témoignages, étant donné qu'ils se sont produits dans un cadre strictement conjugal. Comme dit plus haut, le certificat médical du Dr C. ne fait que rapporter les déclarations de la plaignante et ne constitue pas un moyen de preuve suffisant pour conclure à la survenance, à réitérées reprises, de voies de fait à l'encontre de X. Quant au certificat du Dr B., il constate une importante perte de cheveux dont la cause est liée à un stress mais ne permet pas de tirer des conclusions quant à l'existence de violences conjugales. C'est donc avec raison que le Ministère public n'est pas entré en matière sur cette prévention.</w:t>
      </w:r>
    </w:p>
    <w:p>
      <w:r>
        <w:t>6.a) En revanche, il nen va pas de même s'agissant de l'altercation qui s'est déroulée à la Place du Port à Neuchâtel, lors de laquelle A. aurait violemment tiré les cheveux de X. au point de lui en arracher une poignée, infraction que le Ministère public a qualifié de voies de fait (art.126 CP). En l'espèce, on rappellera que l'autorité de recours n'est pas liée par la qualification juridique retenue par le Ministère public et dispose d'un plein pouvoir de cognition.</w:t>
      </w:r>
    </w:p>
    <w:p>
      <w:r>
        <w:t>b) L'article123 CPréprime les lésions du corps humain ou de la santé qui ne peuvent être qualifiées de graves au sens de l'article 122 CP. Cette disposition protège l'intégrité corporelle et la santé tant physique que psychique. Sous l'effet d'un choc ou au moyen d'un objet, l'auteur dégrade le corps humain d'autrui, que la lésion soit interne ou externe; il provoque une fracture, une foulure, une coupure ou toute autre altération constatable du corps humain (arrêt du TF du07.02.2012 [6B_525/2011] , consid. 4.1).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(arrêt du TF du19.06.2008 [6B_733/2007] , consid. 1.4).</w:t>
      </w:r>
    </w:p>
    <w:p>
      <w:r>
        <w:t>c) A l'inverse, les voies de fait (art.126 CP) se définissent comme des atteintes physiques qui excèdent ce qui est socialement toléré et qui ne causent ni lésion corporelle, ni dommage à la santé. A titre d'exemples de voies de fait, on peut citer la gifle, le coup de poing ou de pied, les fortes bourrades avec les mains ou les coudes. 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(arrêt du TF du07.02.2012 [6B_525/2011], consid. 4.1).</w:t>
      </w:r>
    </w:p>
    <w:p>
      <w:r>
        <w:t>d) En l'espèce, le fait d'arracher une poignée de cheveux à une personne constitue une atteinte à l'intégrité physique, dès lors que la chevelure fait partie du corps humain. L'acte est de nature à provoquer une douleur intense et laisse des traces visibles, mettant à mal le sentiment de bien-être d'une personne. Les faits susmentionnés ont par ailleurs été admis par l'intéressé et sont confirmés par un témoin. Au vu de ce qui précède, on ne peut pas exclure que les éléments constitutifs de l'infraction de lésions corporelles simples, et non pas de seules voies de fait, soient réalisés, auquel cas, la poursuite a lieu d'office si l'auteur est le partenaire de la victime pour autant qu'ils fassent ménage commun. En l'espèce, les faits se sont déroulés en 2011, soit avant le mariage des parties alors qu'elles faisaient ménage commun, de sorte que la poursuite a lieu d'office (art.123 ch. 2 al. 6 CP). Il convient donc d'admettre le recours et de renvoyer la cause au Ministère public pour qu'il ouvre une instruction pénale à l'encontre de A. pour lésions corporelles simples au sens des considérants.</w:t>
      </w:r>
    </w:p>
    <w:p>
      <w:r>
        <w:t>7.Vu l'admission partielle du recours, les frais judiciaires seront laissés à la charge de lEtat (art. 428 al. 4 CPP).</w:t>
      </w:r>
    </w:p>
    <w:p>
      <w:r>
        <w:t>Par ces motifs,l'Autorité de recours en matière pénale</w:t>
      </w:r>
    </w:p>
    <w:p>
      <w:r>
        <w:t>1.Admet partiellement le recours.</w:t>
      </w:r>
    </w:p>
    <w:p>
      <w:r>
        <w:t>2.Annule lordonnance du 20 mars 2014 et renvoie la cause au ministère public au sens des considérants.</w:t>
      </w:r>
    </w:p>
    <w:p>
      <w:r>
        <w:t>3.Laisse les frais judiciaires à la charge de l'Etat.</w:t>
      </w:r>
    </w:p>
    <w:p>
      <w:r>
        <w:t>4.Notifie le présent arrêt à X., à A., et au Ministère public, Parquet régional de Neuchâtel, Tunnels 2 (MP.2014.102).</w:t>
      </w:r>
    </w:p>
    <w:p>
      <w:r>
        <w:t>Neuchâtel, le 11 décembre 2014</w:t>
      </w:r>
    </w:p>
    <w:p>
      <w:r>
        <w:t>1. Celui qui, intentionnellement, aura fait subir à une personne une autre atteinte à l'intégrité corporelle ou à la santé sera, sur plainte, puni d'une peine privative de liberté de trois ans au plus ou d'une peine pécuniaire.</w:t>
      </w:r>
    </w:p>
    <w:p>
      <w:r>
        <w:t>Dans les cas de peu de gravité, le juge pourra atténuer la peine (art. 48a).2</w:t>
      </w:r>
    </w:p>
    <w:p>
      <w:r>
        <w:t>2. La peine sera une peine privative de liberté de trois ans au plus ou une peine pécuniaire et la poursuite aura lieu d'office,</w:t>
      </w:r>
    </w:p>
    <w:p>
      <w:r>
        <w:t>si le délinquant a fait usage du poison, d'une arme ou d'un objet dangereux,</w:t>
      </w:r>
    </w:p>
    <w:p>
      <w:r>
        <w:t>s'il s'en est pris à une personne hors d'état de se défendre ou à une personne, notamment à un enfant, dont il avait la garde ou sur laquelle il avait le devoir de veiller.</w:t>
      </w:r>
    </w:p>
    <w:p>
      <w:r>
        <w:t>si l'auteur est le conjoint de la victime et que l'atteinte a été commise durant le mariage ou dans l'année qui a suivi le divorce,3</w:t>
      </w:r>
    </w:p>
    <w:p>
      <w:r>
        <w:t>si l'auteur est le partenaire enregistré de la victime et que l'atteinte a été commise durant le partenariat enregistré ou dans l'année qui a suivi sa dissolution judiciaire,4</w:t>
      </w:r>
    </w:p>
    <w:p>
      <w:r>
        <w:t>si l'auteur est le partenaire hétérosexuel ou homosexuel de la victime pour autant qu'ils fassent ménage commun pour une durée indéterminée et que l'atteinte ait été commise durant cette période ou dans l'année qui a suivi la séparation.5</w:t>
      </w:r>
    </w:p>
    <w:p>
      <w:r>
        <w:t>1Nouvelle teneur selon le ch. I de la LF du 23 juin 1989, en vigueur depuis le 1erjanv. 1990 (RO19892449; FF1985II 1021).2Nouvelle teneur du par. selon le ch. II 2 de la LF du 13 déc. 2002, en vigueur depuis le 1erjanv. 2007 (RO20063459;FF19991787).3Par. introduit par le ch. I de la LF du 3 oct. 2003 (Poursuite des infractions entre conjoints ou partenaires), en vigueur depuis le 1eravril 2004 (RO20041403;FF200317501779).4Par. introduit par le ch. 18 de l'annexe à la LF du 18 juin 2004 sur le partenariat, en vigueur depuis le 1erjanv. 2007 (RO20055685;FF20031192).5Anciennement par. 4. Introduit par le ch. I de la LF du 3 oct. 2003 (Poursuite des infractions entre conjoints ou partenaires), en vigueur depuis le 1eravril 2004 (RO20041403;FF200317501779).</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 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 contre son partenaire hétérosexuel ou homosexuel pour autant qu'ils fassent ménage commun pour une durée indéterminée et que les atteintes aient été commises durant cette période ou dans l'année qui a suivi la séparation.2</w:t>
      </w:r>
    </w:p>
    <w:p>
      <w:r>
        <w:t>1Introduite par le ch. 18 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1eravril 2004 (RO20041403;FF200317501779).</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