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ARMP.2011.117 vom 20. Januar 2012</w:t>
      </w:r>
    </w:p>
    <w:p>
      <w:r>
        <w:t>NE Tribunal cantonal, 2012-01-20, FR</w:t>
      </w:r>
    </w:p>
    <w:p>
      <w:r>
        <w:rPr>
          <w:b/>
        </w:rPr>
        <w:t xml:space="preserve">Quelle: </w:t>
      </w:r>
      <w:r>
        <w:t>https://mcp.opencaselaw.ch/entscheid/ne_gerichte_ARMP.2011.117</w:t>
      </w:r>
    </w:p>
    <w:p>
      <w:r>
        <w:t>FR: NE_GERICHTE ARMP.2011.117 du 20 janvier 2012</w:t>
      </w:r>
    </w:p>
    <w:p>
      <w:r>
        <w:t>IT: NE_GERICHTE ARMP.2011.117 del 20 gennaio 2012</w:t>
      </w:r>
    </w:p>
    <w:p>
      <w:pPr>
        <w:pStyle w:val="Heading2"/>
      </w:pPr>
      <w:r>
        <w:t>Erwägungen</w:t>
      </w:r>
    </w:p>
    <w:p>
      <w:r>
        <w:rPr>
          <w:b/>
        </w:rPr>
        <w:t>E. 1</w:t>
      </w:r>
    </w:p>
    <w:p>
      <w:r>
        <w:t>si le prévenu, malgré l'invitation de la direction de la procédure, ne désigne pas de défenseur privé,</w:t>
      </w:r>
    </w:p>
    <w:p>
      <w:r>
        <w:rPr>
          <w:b/>
        </w:rPr>
        <w:t>E. 2</w:t>
      </w:r>
    </w:p>
    <w:p>
      <w:r>
        <w:t>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r>
        <w:rPr>
          <w:b/>
        </w:rPr>
        <w:t>E. 3</w:t>
      </w:r>
    </w:p>
    <w:p>
      <w:r>
        <w:t>Il est statué sans frais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