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ARMC.2025.38 vom 20. Mai 2025</w:t>
      </w:r>
    </w:p>
    <w:p>
      <w:r>
        <w:t>NE Tribunal cantonal, 2025-05-20, FR</w:t>
      </w:r>
    </w:p>
    <w:p>
      <w:r>
        <w:rPr>
          <w:b/>
        </w:rPr>
        <w:t xml:space="preserve">Quelle: </w:t>
      </w:r>
      <w:r>
        <w:t>https://mcp.opencaselaw.ch/entscheid/ne_gerichte_ARMC.2025.38</w:t>
      </w:r>
    </w:p>
    <w:p>
      <w:r>
        <w:t>FR: NE_GERICHTE ARMC.2025.38 du 20 mai 2025</w:t>
      </w:r>
    </w:p>
    <w:p>
      <w:r>
        <w:t>IT: NE_GERICHTE ARMC.2025.38 del 20 maggio 2025</w:t>
      </w:r>
    </w:p>
    <w:p>
      <w:pPr>
        <w:pStyle w:val="Heading2"/>
      </w:pPr>
      <w:r>
        <w:t>Erwägungen</w:t>
      </w:r>
    </w:p>
    <w:p>
      <w:r>
        <w:rPr>
          <w:b/>
        </w:rPr>
        <w:t>E. 1</w:t>
      </w:r>
    </w:p>
    <w:p>
      <w:r>
        <w:t>Conformément à l’article 103 CPC, les décisions relatives aux avances de frais et aux sûretés peuvent faire l’objet d’un recours. Ces décisions comptent parmi les ordonnances d’instruction visées par l’article 319 let. b CPC ( Jeandin , in : CR CPC, 2 e éd. 2019, n. 14 ad art. 319), de sorte que le recours écrit et motivé doit être déposé dans les dix jours à compter de la notification de la décision querellée (art. 321 al. 1 et 2 CPC). Déposé dans les formes et délai légaux, le recours est recevable. Selon le registre du commerce, A.________ est une société en nom collectif (SNC). En vertu de l’article 562 CO, celle-ci peut, sous sa raison sociale, acquérir des droits et s’engager, actionner et être actionnée en justice. La recourante a donc bien la qualité pour recourir.</w:t>
      </w:r>
    </w:p>
    <w:p>
      <w:r>
        <w:rPr>
          <w:b/>
        </w:rPr>
        <w:t>E. 2</w:t>
      </w:r>
    </w:p>
    <w:p>
      <w:r>
        <w:t>Les frais judiciaires comprennent les émoluments forfaitaires de conciliation et de décision, ainsi que les frais d’administration des preuves, de traduction et de représentation de l’enfant (art. 95 al. 2 CPC). Ils sont en principe répartis en fonction du sort de la cause (art. 106 CPC). Le tribunal peut en principe exiger du demandeur une avance à concurrence de la moitié des frais judiciaires présumés, la totalit.pouvant cependant l’être en procédure sommaire (cf. art. 98 al. 1 et 2 let. c CPC). En règle générale, selon l' article 104 al. 1 CPC , le montant des frais judiciaires est arrêté définitivement dans la décision finale, d'après le tarif cantonal autorisé par l' article 96 CPC . Au moment de réclamer une avance conformément à l' article 98 CPC , le juge doit donc évaluer les frais présumables en tenant compte du tarif. L’objet de la procédure de recours porte sur l’application de l’article 116 CPC, qui aménage la possibilité pour les cantons de prévoir des dispenses de frais plus larges que celles prévues par l’article 114 CPC. Le législateur neuchâtelois a fait usage de cette faculté en prévoyant qu’« en matière de bail à loyer portant sur des habitations, il n'est perçu ni frais judiciaires ni émoluments de chancellerie pour les litiges portant sur des locaux d'habitation » (art. 56 de la loi fixant le tarif des frais, des émoluments de chancellerie et des dépens en matière civile, pénale et administrative [ LTFrais , RSN 164.1]). Se pose dès lors la question de l’application de cette dernière disposition aux litiges relatifs à l’éventuelle indemnité pour occupation illicite due par le locataire au bailleur. Selon la jurisprudence fédérale, « [l]e locataire qui reste dans les locaux loués après la fin du bail contrevient à son obligation contractuelle de restitution (cf. art. 267 al. 1 CO ). Sur la base d'un rapport de fait assimilable au bail, le bailleur peut alors prétendre à une indemnité pour occupation des locaux équivalant en principe au loyer convenu .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 … ). Cette jurisprudence n'interdit pas au bailleur de faire valoir un dommage supplémentaire (…) et de prouver, par exemple, qu'il avait la possibilité de relouer les locaux à un loyer plus élevé (…). Il n'est pas non plus exclu que l'indemnité pour occupation soit inférieure au loyer convenu si le locataire retire des locaux non libérés une jouissance moindre que celle qui avait été convenue et qui justifiait le loyer prévu (…) ; tel pourra être le cas, selon les circonstances (…), si la chose louée est affectée de défauts (…). Le recours à la notion de rapport contractuel de fait ne se justifie pas dans toutes les situations d'absence de contrat valide (…).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 » (arrêt du TF du 22.07.2019 [4A_276/2018] cons. 3.1 ; cf. aussi arrêt du TF du 22.07.2021 [4A_66/2021] cons. 5.2). Fondée sur cette jurisprudence, l’ARMC a retenu ce qui suit, dans un arrêt du 2 mai 2025 ( ARMC.2024.90 , cons. 5) : « En l’espèce, il existe un lien de connexité fondamental entre les conclusions du bailleur découlant de par leur nature du droit du bail (requête en expulsion de la locataire, dont le traitement suppose de trancher à titre préjudiciel la question de la validité de la résiliation du bail) et celles tendant à la condamnation de l’adverse partie à lui verser une i ndemnité pour occupation illicite, en ce sens que c’est en vertu d’un contrat de bail – dont aucune des parties ne conteste la validité – que [la locataire] a commencé à occuper les locaux et que la question de savoir si elle a occupé illicitement ces locaux dépend de celle de la validité de la résiliation du bail. Dans la situation d’espèce, le recours à la notion de rapport contractuel de fait se justifie, au sens de la jurisprudence citée plus haut, et cela implique d’appliquer l’article 56 LTFrais également au volet de la requête du […] tendant en l’octroi d’une indemnité pour occupation illicite. Ceci est conforme à l’idée qu’il serait inéquitable que le bailleur contraint contre son gré de laisser l'usage de la chose au locataire après la fin du bail soit plus mal placé qu'il ne l'était pendant le bail (cf. arrêt du TF du 22.07.2021 [4A_66/2021] cons. 5.2 et les arrêts cités). Cette interprétation est par ailleurs conforme à la volonté du législateur cantonal de faciliter l’accès à la justice dans les litiges relatifs à des baux portant sur des locaux d’habitation. Dans la situation d’espèce, il serait illogique que cet accès soit rendu plus difficile en rapport avec les prétentions élevées par le bailleur à partir d’une certaine date, alors que l’occupation des lieux s’est faite par la même personne de manière continue pour l’ensemble des prétentions. La solution n’aurait pas été la même dans le cas d’une action en indemnisation pour occupation illicite dirigée contre un squatteur ou si le bailleur, après avoir été en demeure de reprendre la chose louée, avait laissé celle-ci délibérément à disposition de la locataire. Le critère de la connexité a également été considéré comme déterminant, en rapport avec la question de la possibilité de percevoir des frais judiciaires, dans un arrêt du 31 août 2018 par lequel l’Autorité de céans a considéré, dans les litiges relevant des articles 113 al. 2 et 114 CPC (litiges portant sur des assurances complémentaires à l’assurance-maladie sociale), que la procédure de preuve à futur était gratuite, s’agissant des frais judiciaires ( RJN 2018 p. 383 ). » La situation n’est pas différente en l’espèce. Dans ces conditions, l’autorité précédente n’était pas autorisée à requérir le versement d’une avance de frais. Il résulte des considérations qui précèdent que le recours doit être admis et la décision attaquée annulée.</w:t>
      </w:r>
    </w:p>
    <w:p>
      <w:r>
        <w:rPr>
          <w:b/>
        </w:rPr>
        <w:t>E. 3</w:t>
      </w:r>
    </w:p>
    <w:p>
      <w:r>
        <w:t>La gratuité au sens de l’article 56 LTFrais s’applique tant à la procédure de première instance qu’aux procédures cantonales de recours et d’appel (arrêts de la Cour d’appel civile du 03.05.2023 [ CACIV.2023.26 ] cons. 5 ; du 16.02.2023 [ CACIV.2022.85 ] cons. 6). La présente procédure ne donnera dès lors pas lieu à la perception de frais judiciaires.</w:t>
      </w:r>
    </w:p>
    <w:p>
      <w:r>
        <w:rPr>
          <w:b/>
        </w:rPr>
        <w:t>E. 4</w:t>
      </w:r>
    </w:p>
    <w:p>
      <w:r>
        <w:t>L’article 56 LTFrais concerne les frais judiciaires, au sens de l’article 95 al. 2 CPC, et non les dépens, au sens de l’article 95 al. 3 CPC. Selon la règle générale de l’article 106 CPC, les dépens doivent être mis à la charge de la partie succombante. La partie qui succombe à l'issue d'une procédure de recours est d'abord celle qui a pris des conclusions dans cette procédure et qui subit leur rejet ( ATF 119 Ia 1 cons. 6b) ;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 2b et 2c ; 123 V 156 ).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(arrêts du TF du 08.03.2018 [4D_69/2017] cons. 6 et du 24.07.2017 [5A_932/2016] cons. 2.2.4 et les réf. cit.). En l’espèce, l’intimé n’est pas à l’origine de l’erreur ici corrigée et il ne s’est pas opposée à la correction. Il n’est dès lors pas une partie succombante aux termes de l’article 106 al. 1 CPC et n’a pas à verser des dépens à la partie recourante.</w:t>
      </w:r>
    </w:p>
    <w:p>
      <w:r>
        <w:rPr>
          <w:b/>
        </w:rPr>
        <w:t>E. 5</w:t>
      </w:r>
    </w:p>
    <w:p>
      <w:r>
        <w:t>Il s’agit encore de déterminer si l’État, qui gardera à sa charge les frais judiciaires de la procédure de recours, doit allouer des dépens à la partie recourante. Dans un procès civil, que ce soit en première instance ou en instance de recours, il n'est en principe pas possible que le canton puisse être considéré comme la partie qui succombe, et donc que des dépens soient mis à sa charge en vertu de l'article 106 al. 1 CPC, dès lors que le tribunal qui statue sur la cause n'est pas une partie au procès au sens des articles 66 ss CPC. Autre est la situation dans un recours pour retard injustifié, lequel n'est pas dirigé contre la partie adverse, mais contre le tribunal lui-même, qui refuse de statuer ou tarde à le faire dans le cadre du procès civil en cours. Dans ce cas, si le recours est admis, des dépens doivent être mis à la charge du canton en vertu de l'article 106 al. 1 CPC, à moins que, conformément à l'article 116 CPC, le droit cantonal n'ait exonéré le canton de devoir supporter des dépens ( ATF 139 III 471 cons. 3.3), étant précisé que le législateur neuchâtelois n’a pas fait usage de cette dernière possibilité. Le Tribunal fédéral considère également que les frais et dépens doivent être mis à la charge du canton lorsque ces frais n’ont pas été causés par les parties, mais qu’ils résultent d’une décision erronée réfutant la compétence de la juridiction saisie (en application de l’art. 107 al. 2 CPC : ATF 138 III 471 cons. 7) ou lorsqu’une partie obtient finalement, devant l’autorité de recours, l’assistance judiciaire qui lui a été refusée (en application de l’art. 106 al. 1 CPC : ATF 140 III 501 cons. 3 et 4). Dans un arrêt du 21 décembre 2015, les juges fédéraux ont indiqué que, dans une procédure n’impliquant qu’une seule partie (comme dans le cas d’une procédure de reconnaissance d’une faillite prononcée à l’étranger [cf. art. 166 ss LDIP]), le canton doit verser à cette partie des dépens lorsqu’elle obtient gain de cause devant l’autorité de recours, sous réserve de l’article 116 CPC ( ATF 142 III 110 et les réf. cit.). En revanche, les juges fédéraux ont considéré qu’il n’était pas arbitraire de nier à l’autorité de protection des adultes la qualité de partie adverse et, partant, de ne pas condamner le canton à verser à la partie concernée une indemnité de dépens en application de l’article 106 al. 1 CPC ( ATF 140 III 385 cons. 4.2). Ces arrêts – mentionnés à titre exemplatif – visent des situations présentant des caractéristiques telles qu’elles ont conduit les juges fédéraux à mettre les dépens à la charge de l’État. Il s’agit dès lors, pour l’ARMC, d’identifier si le cas d’espèce révèle des particularités comparables à celles identifiées dans ces arrêts. Pour faire écho aux remarques de la recourante, on précisera qu’il ne s’agit pas, par l’examen qui vient d’être décrit, de déterminer si le cas d’espèce s’inscrit (ou non) dans l’une des hypothèses déjà étudiées par le Tribunal fédéral (ce qui exclurait d’emblée toute prise en charge des dépens par l’État pour un cas n’ayant pas encore été porté devant le Tribunal fédéral, ce qui ne serait effectivement pas admissible, comme le soutient la recourante) ; il s’agit plutôt de dire si le cas examiné peut, en raison de certaines caractéristiques, être attribué (ou non) aux types de cas visés par les juges fédéraux (techniquement, il s’agit d’une analyse typologique fondée sur les précédents [cf. Probst , Die Änderung der Rechtsprechung, 1993, p. 394-395, note de pied n o 76]). En l’espèce, la décision relative à l’avance de frais a été prononcée par la juge civile et elle a été notifiée à la seule requérante (recourante). La question objet de la décision relève essentiellement de la relation entre l’État et la débitrice de l’avance. Celui-là tend à se prémunir contre un défaut de paiement à l’issue de la procédure (cf. Tappy , in CR CPC, 2 e éd. 2019, n. 1 ss ad art. 98). Par nature, la procédure implique une seule partie et elle s’apparente ainsi aux cas dans lesquels l’État peut être considéré comme une partie. En conséquence, les dépens doivent être mis à la charge du canton. Dans son mémoire d’activités du 15 mai 2025, la recourante fait état d’une activité de 04h40. Le poste du 12 mai 2025 (00h10) qui suppose une lecture cursive et, très vraisemblablement, l’envoi à la cliente d’une copie de la décision accordant l’effet suspensif ne peut être comptabilisé. Le temps consacré à la rédaction du recours (04h30) est un peu excessif si l’on tient compte du fait que le Tribunal fédéral a indiqué explicitement sur quelle base l’indemnité pour occupation illicite pouvait être exigée (« rapport de fait assimilable au bail » ; cf. arrêt du 22.07.2019 précité cons. 3.1) et que l’un des mandataires de la recourante avait déjà connaissance de l’interprétation faite par l’autorité de recours de la portée de l’article 56 LTFrais (cf. mémoire de recours p. 5 et le renvoi à la cause ARMC.2021.45 ). Dans ces conditions, une durée de 3h00 pour la rédaction du mémoire de recours paraît raisonnable et justifiée. Les honoraires se montent dès lors à 900 francs (3 x 300 francs). Il convient d’y ajouter les frais forfaitaires (10 %, soit 90 francs) et la TVA (8,1 %, soit 80.20 francs). Une indemnité de dépens de 1'070.20 francs sera ainsi allouée à la recourante,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