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ARMC.2023.54 vom 20. Juli 2023</w:t>
      </w:r>
    </w:p>
    <w:p>
      <w:r>
        <w:t>NE Tribunal cantonal, 2023-07-20, FR</w:t>
      </w:r>
    </w:p>
    <w:p>
      <w:r>
        <w:rPr>
          <w:b/>
        </w:rPr>
        <w:t xml:space="preserve">Quelle: </w:t>
      </w:r>
      <w:r>
        <w:t>https://mcp.opencaselaw.ch/entscheid/ne_gerichte_ARMC.2023.54_d20230720</w:t>
      </w:r>
    </w:p>
    <w:p>
      <w:r>
        <w:t>FR: NE_GERICHTE ARMC.2023.54 du 20 juillet 2023</w:t>
      </w:r>
    </w:p>
    <w:p>
      <w:r>
        <w:t>IT: NE_GERICHTE ARMC.2023.54 del 20 luglio 2023</w:t>
      </w:r>
    </w:p>
    <w:p>
      <w:pPr>
        <w:pStyle w:val="Heading2"/>
      </w:pPr>
      <w:r>
        <w:t>Regeste</w:t>
      </w:r>
    </w:p>
    <w:p>
      <w:r>
        <w:t>Expertise judiciaire, pièces du dossier remises à l’expert (art. 185 al. 3 CPC)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 et de Y</w:t>
      </w:r>
    </w:p>
    <w:p>
      <w:r>
        <w:rPr>
          <w:b/>
        </w:rPr>
        <w:t>E. 2</w:t>
      </w:r>
    </w:p>
    <w:p>
      <w:r>
        <w:t>________, que le fait que ceux-ci représentent un de leurs parents, soit leur mère (Y</w:t>
      </w:r>
    </w:p>
    <w:p>
      <w:r>
        <w:rPr>
          <w:b/>
        </w:rPr>
        <w:t>E. 3</w:t>
      </w:r>
    </w:p>
    <w:p>
      <w:r>
        <w:t>________), ne conduit pas à une autre conclusion puisque, en tant que propriétaires communs de l’immeuble, les deux avocats ont un intérêt personnel à l’issue du litige (cf. arrêt du TF du 30.04.2008 [9C_864/2007] cons. 5.2), qu’il est toutefois admis qu’une exception à la règle peut se justifier lorsque les services professionnels fournis sont particulièrement importants, soit lorsqu’ils vont bien au-delà de ce qui est usuel pour gérer des affaires personnelles (cf. arrêt du TF du 19.06.2009 [2C_807/2008] cons. 4.3), qu’il est alors équitable d’octroyer une « certaine somme à titre de dépens » en application de l’article 95 al. 3 let. c CPC lorsque le plaideur est lui-même avocat et qu’il n'a ainsi pas eu recours à un mandataire externe, la partie adverse profitant déjà en quelque sorte de la réduction des coûts en résultant ( Tappy , in CR CPC, 2 e éd. 2019, n. 34 s. ; cf. arrêt du TF du 19.06.2009 précité cons. 4.3), qu’en l’occurrence, il paraît équitable d’octroyer aux intimés, pour l’intervention de Y 2 ________ et Y 1 ________, une indemnité de 700 francs pour la procédure de recours, à la charge de la recourante,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