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ARMC.2022.62 vom 19. Dezember 2022</w:t>
      </w:r>
    </w:p>
    <w:p>
      <w:r>
        <w:t>NE Tribunal cantonal, 2022-12-19, FR</w:t>
      </w:r>
    </w:p>
    <w:p>
      <w:r>
        <w:rPr>
          <w:b/>
        </w:rPr>
        <w:t xml:space="preserve">Quelle: </w:t>
      </w:r>
      <w:r>
        <w:t>https://mcp.opencaselaw.ch/entscheid/ne_gerichte_ARMC.2022.62</w:t>
      </w:r>
    </w:p>
    <w:p>
      <w:r>
        <w:t>FR: NE_GERICHTE ARMC.2022.62 du 19 décembre 2022</w:t>
      </w:r>
    </w:p>
    <w:p>
      <w:r>
        <w:t>IT: NE_GERICHTE ARMC.2022.62 del 19 dicembre 2022</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Interjeté dans les formes et délai légaux (art. 321 CPC, 174 al. 1 LP), le recours est recevable (cf. arrêt du 06.11.2020 [ ARMC.2020.68 ] cons. 2).</w:t>
      </w:r>
    </w:p>
    <w:p>
      <w:r>
        <w:rPr>
          <w:b/>
        </w:rPr>
        <w:t>E. 2</w:t>
      </w:r>
    </w:p>
    <w:p>
      <w:r>
        <w:t>a) Des novas sont admissibles en procédure de recours contre un jugement de faillite, mais l’article 174 al. 2 LP n’autorise pas le débiteur à produire des pièces et à faire valoir des moyens une fois échu le délai de recours de l'article 174 al. 1 LP ; la maxime inquisitoire n'oblige en outre pas le tribunal à étendre la procédure probatoire et à administrer tous les moyens de preuve envisageables (arrêt du TF du 24.11.2016 [5A_681/2016] cons. 3.1.3). b) Les pièces déposées par le recourant dans le délai de recours sont admises. Celles produites à l’appui des observations du 10 octobre 2022, dans le délai imparti par l’ARMC, sont également recevables. On admettra aussi, à titre exceptionnel, les nouvelles pièces déposées le 14 octobre 2022.</w:t>
      </w:r>
    </w:p>
    <w:p>
      <w:r>
        <w:rPr>
          <w:b/>
        </w:rPr>
        <w:t>E. 3</w:t>
      </w:r>
    </w:p>
    <w:p>
      <w:r>
        <w:t>Le jugement entrepris est conforme à la loi. Le premier juge devait en effet prononcer la faillite du recourant en application de l'article 171 LP, car lorsqu'il a rendu sa décision, il n'existait pas de circonstances connues de lui permettant de rejeter la requête ou d'ajourner sa décision, selon les articles 172 à 173 a LP.</w:t>
      </w:r>
    </w:p>
    <w:p>
      <w:r>
        <w:rPr>
          <w:b/>
        </w:rPr>
        <w:t>E. 4</w:t>
      </w:r>
    </w:p>
    <w:p>
      <w:r>
        <w:t>a) En vertu de l'article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Les conditions, soit le paiement de la dette à l'origine de la faillite, le dépôt de la totalité de la somme à rembourser ou le retrait de la requête de faillite et la vraisemblance de la solvabilité, sont cumulatives (arrêt du TF du 28.01.2022 [5A_891/2021] cons. 6.1.1). b) En l’espèce, la dette en poursuites, intérêts et frais compris, a été réglée auprès du tribunal civil dans le délai de recours. c) Selon la jurisprudence (arrêt du TF du 28.01.2022 [5A_891/2021] cons. 6.1.2), la solvabilité, au sens de l'article 174 al. 2 LP , se définit par opposition à l'insolvabilité au sens de l'article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l'article 43 LP, le débiteur doit en principe prouver par titre qu'une des hypothèses de l'article 174 al. 2 ch. 1 à 3 LP s'est réalisée, à moins qu'il ne résulte du dossier la vraisemblance qualifiée de l'existence de disponibilités en liquidités objectivement suffisantes non seulement pour payer ces créances, mais aussi pour faire face aux autres prétentions créancières déjà exigibles (à cet égard, la doctrine précise que c’est en déposant son recours que le débiteur doit rendre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 seuls les moyens immédiatement et concrètement disponibles doivent être pris en considération : Cometta , op. cit., n. 8 et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C'est le débiteur qui doit rendre sa solvabilité vraisemblable ; il n'appartient pas à l'autorité de recours de rechercher d'office des moyens de preuve idoines (cf. notamment arrêt du TF du 31.05.2018 [5A_251/2018] cons. 3.1). d) En l’espèce, la recourante n’a pas déposé de bilan ou de compte de pertes et profits concernant son exploitation, ni d’extraits de comptes bancaires, ni d’autres pièces qui pourraient – en plus des extraits de poursuites – donner une idée de la situation financière de l’entreprise. Elle n’allègue rien au sujet des revenus et charges de la société, ni d’éventuels bénéfices, etc. Après des paiements de dernière heure, dont un versement de près de 30'000 francs effectué au débit d’un compte bancaire qui n’est pas un compte de la société, le montant des poursuites en cours dépasse encore 230'000 francs, comme l’admet la recourante. Qu’il s’agisse en partie de dettes fiscales n’est pas relevant. L’extrait du registre des poursuites qui a été produit compte 28 pages, ce qui est assez exceptionnel, et démontre que les habitudes de paiement de la recourante consistent largement à ne pas payer les impôts, les cotisations sociales et les assurances et à impatienter un certain nombre de partenaires commerciaux, ceci depuis plusieurs années déjà. Les dettes s’accumulent et, apparemment, la société pare au plus pressé, payant certaines poursuites pour éviter sa mise en faillite. L’extrait du registre des poursuites révèle aussi que plus de vingt poursuites ont été introduites contre la société durant l’année 2022 seulement, en particulier pour des dettes fiscales et de cotisations sociales, mais aussi en rapport avec des créances de ce qu’on imagine être des fournisseurs, et que six poursuites introduites en 2022 en sont au stade de la saisie, à hauteur de 24'000 francs, 2'110 francs et 18'000 francs pour l’Administration fédérale des contributions, 343.20 francs pour l’Office de recouvrement de l’État, 15'839.10 francs pour la Suva et 3'909.85 francs pour la CCNC (cette dernière poursuite a cependant été payée ; sans la compter, les créances en saisie, pour des poursuites introduites en 2022, s’élèvent au total à environ 60'000 francs). La recourante n’allègue ni ne prouve qu’elle aurait obtenu, ou même déjà demandé un arrangement de paiement avec les créanciers au sujet des poursuites au stade de la saisie qui n’ont pas été payées, au sens de ce qui précède ; ses déclarations au sens desquelles elle envisage de négocier avec les autorités fiscales et les autres créanciers ne suffisent pas pour considérer que des arrangements pourraient forcément être trouvés. En fonction de ce qui précède, on ne peut pas considérer que la recourante ne connaîtrait que des difficultés momentanées de trésorerie. Il est possible qu’un désordre administratif ait accentué les difficultés, mais cela n’empêche pas que, visiblement, l’activité de la société peut difficilement être bénéficiaire, à moins que l’on admette qu’avec le bénéfice, l’associé gérant préfère augmenter son train de vie, en plus de son salaire versé par la société, plutôt que de payer ses créanciers. Comme déjà relevé, la recourante n’a pas produit ses comptes, qui auraient pu éclairer sa situation financière. En fonction des éléments à disposition, les assurances de la recourante sur sa volonté et sa capacité d’assainir sa situation ne suffisent pas à admettre, au degré de la vraisemblance, que sa solvabilité est plus probable que son insolvabilité. Cela conduit au rejet du recours, étant rappelé qu’à ce stade, la question n’est plus de savoir si des emplois peuvent être sauvés, mais bien si les conditions prévues à l’article 174 al. 2 LP pour l’annulation d’un jugement de faillite sont réalisées, ce qui n’est pas le cas ici.</w:t>
      </w:r>
    </w:p>
    <w:p>
      <w:r>
        <w:rPr>
          <w:b/>
        </w:rPr>
        <w:t>E. 5</w:t>
      </w:r>
    </w:p>
    <w:p>
      <w:r>
        <w:t>Il résulte de ce qui précède que le recours doit être rejeté. L’effet suspensif ayant été accordé, il convient de fixer à nouveau la date de l’ouverture de la faillite. Les frais de la procédure de recours, arrêtés à 750 francs et avancés par la recourante, sont mis à la charge de cette dernière qui succombe. Il n’y a pas lieu d’accorder des dépens à la société 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