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ARMC.2020.51 vom 12. August 2020</w:t>
      </w:r>
    </w:p>
    <w:p>
      <w:r>
        <w:t>NE Tribunal cantonal, 2020-08-12, FR</w:t>
      </w:r>
    </w:p>
    <w:p>
      <w:r>
        <w:rPr>
          <w:b/>
        </w:rPr>
        <w:t xml:space="preserve">Quelle: </w:t>
      </w:r>
      <w:r>
        <w:t>https://mcp.opencaselaw.ch/entscheid/ne_gerichte_ARMC.2020.51</w:t>
      </w:r>
    </w:p>
    <w:p>
      <w:r>
        <w:t>FR: NE_GERICHTE ARMC.2020.51 du 12 août 2020</w:t>
      </w:r>
    </w:p>
    <w:p>
      <w:r>
        <w:t>IT: NE_GERICHTE ARMC.2020.51 del 12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 SA, jusqu’en automne 2014. Cette société avait des liens avec Y</w:t>
      </w:r>
    </w:p>
    <w:p>
      <w:r>
        <w:rPr>
          <w:b/>
        </w:rPr>
        <w:t>E. 2</w:t>
      </w:r>
    </w:p>
    <w:p>
      <w:r>
        <w:t>________ SA, représentée par A.________ et B.________, ont signé une « CONVENTION et RECONNAISSANCE DE DETTE » (la date figurant à la fin du document est « Fait à Z.________, le _ novembre 2014 » ; il a été allégué que la signature était intervenue début décembre 2014). Dans son préambule, la convention mentionnait le fait que X.________ « était employé en qualité de directeur de Y 1 ________ SA » (ch. 1), que « [s]ur divers chantiers de Y</w:t>
      </w:r>
    </w:p>
    <w:p>
      <w:r>
        <w:rPr>
          <w:b/>
        </w:rPr>
        <w:t>E. 3</w:t>
      </w:r>
    </w:p>
    <w:p>
      <w:r>
        <w:t>Il résulte de ce qui précède que le recours doit être rejeté, car irrecevable et au surplus mal fondé. Les frais judiciaires de la procédure de recours seront mis à la charge du recourant, qui succombe (art. 106 CPC). Le recourant versera en outre à l’intimée, pour la procédure de recours, une indemnité de dépens qui peut être arrêtée à 700 francs, au vu du dossier, en l’absence de mémoire d’honoraires (art. 96 et 105 CPC, 64 al. 2 LTFrais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