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ARMC.2020.31 vom 18. September 2019</w:t>
      </w:r>
    </w:p>
    <w:p>
      <w:r>
        <w:t>NE Tribunal cantonal, 2019-09-18, FR</w:t>
      </w:r>
    </w:p>
    <w:p>
      <w:r>
        <w:rPr>
          <w:b/>
        </w:rPr>
        <w:t xml:space="preserve">Quelle: </w:t>
      </w:r>
      <w:r>
        <w:t>https://mcp.opencaselaw.ch/entscheid/ne_gerichte_ARMC.2020.31_d20190918</w:t>
      </w:r>
    </w:p>
    <w:p>
      <w:r>
        <w:t>FR: NE_GERICHTE ARMC.2020.31 du 18 septembre 2019</w:t>
      </w:r>
    </w:p>
    <w:p>
      <w:r>
        <w:t>IT: NE_GERICHTE ARMC.2020.31 del 18 settembre 2019</w:t>
      </w:r>
    </w:p>
    <w:p>
      <w:pPr>
        <w:pStyle w:val="Heading2"/>
      </w:pPr>
      <w:r>
        <w:t>Regeste</w:t>
      </w:r>
    </w:p>
    <w:p>
      <w:r>
        <w:t>Mainlevée définitive de l’opposition. Titre authentique exécutoire.</w:t>
      </w:r>
    </w:p>
    <w:p>
      <w:pPr>
        <w:pStyle w:val="Heading2"/>
      </w:pPr>
      <w:r>
        <w:t>Erwägungen</w:t>
      </w:r>
    </w:p>
    <w:p>
      <w:r>
        <w:rPr>
          <w:b/>
        </w:rPr>
        <w:t>E. 2</w:t>
      </w:r>
    </w:p>
    <w:p>
      <w:r>
        <w:t>reconnue dans le titre par la partie qui s’oblige,</w:t>
      </w:r>
    </w:p>
    <w:p>
      <w:r>
        <w:rPr>
          <w:b/>
        </w:rPr>
        <w:t>E. 3</w:t>
      </w:r>
    </w:p>
    <w:p>
      <w:r>
        <w:t>; 2.</w:t>
      </w:r>
    </w:p>
    <w:p>
      <w:r>
        <w:rPr>
          <w:b/>
        </w:rPr>
        <w:t>E. 4</w:t>
      </w:r>
    </w:p>
    <w:p>
      <w:r>
        <w:t>les décisions des autorités administratives suisses; 3.</w:t>
      </w:r>
    </w:p>
    <w:p>
      <w:r>
        <w:rPr>
          <w:b/>
        </w:rPr>
        <w:t>E. 5</w:t>
      </w:r>
    </w:p>
    <w:p>
      <w:r>
        <w:t>... 4.</w:t>
      </w:r>
    </w:p>
    <w:p>
      <w:r>
        <w:rPr>
          <w:b/>
        </w:rPr>
        <w:t>E. 6</w:t>
      </w:r>
    </w:p>
    <w:p>
      <w:r>
        <w:t>les décisions définitives concernant les frais de contrôle rendues par les organes de contrôle en vertu de l’art. 16, al. 1, de la loi du 17 juin 2005 sur le travail au noir</w:t>
      </w:r>
    </w:p>
    <w:p>
      <w:r>
        <w:rPr>
          <w:b/>
        </w:rPr>
        <w:t>E. 7</w:t>
      </w:r>
    </w:p>
    <w:p>
      <w:r>
        <w:t>; 5.</w:t>
      </w:r>
    </w:p>
    <w:p>
      <w:r>
        <w:rPr>
          <w:b/>
        </w:rPr>
        <w:t>E. 8</w:t>
      </w:r>
    </w:p>
    <w:p>
      <w:r>
        <w:t>Introduit par l’annexe ch. 2 de la LF du 30 sept. 2016, en vigueur depuis le 1 er janv. 2018 ( RO 2017 3575 ; FF 2015 2467 ).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