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ARMC.2019.92 vom 21. November 2019</w:t>
      </w:r>
    </w:p>
    <w:p>
      <w:r>
        <w:t>NE Tribunal cantonal, 2019-11-21, FR</w:t>
      </w:r>
    </w:p>
    <w:p>
      <w:r>
        <w:rPr>
          <w:b/>
        </w:rPr>
        <w:t xml:space="preserve">Quelle: </w:t>
      </w:r>
      <w:r>
        <w:t>https://mcp.opencaselaw.ch/entscheid/ne_gerichte_ARMC.2019.92</w:t>
      </w:r>
    </w:p>
    <w:p>
      <w:r>
        <w:t>FR: NE_GERICHTE ARMC.2019.92 du 21 novembre 2019</w:t>
      </w:r>
    </w:p>
    <w:p>
      <w:r>
        <w:t>IT: NE_GERICHTE ARMC.2019.92 del 21 novembre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._________ SA, X</w:t>
      </w:r>
    </w:p>
    <w:p>
      <w:r>
        <w:rPr>
          <w:b/>
        </w:rPr>
        <w:t>E. 2</w:t>
      </w:r>
    </w:p>
    <w:p>
      <w:r>
        <w:t>._________ SA et X</w:t>
      </w:r>
    </w:p>
    <w:p>
      <w:r>
        <w:rPr>
          <w:b/>
        </w:rPr>
        <w:t>E. 3</w:t>
      </w:r>
    </w:p>
    <w:p>
      <w:r>
        <w:t>Dans ces conditions, il n’existe aucun motif de mettre à la charge de l’intimé les frais judiciaires et des dépens pour la procédure de séquestre. Les frais judiciaires en resteront ainsi à la charge des recourantes, qui n’ont pas droit à des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