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ARMC.2019.91 vom 13. November 2019</w:t>
      </w:r>
    </w:p>
    <w:p>
      <w:r>
        <w:t>NE Tribunal cantonal, 2019-11-13, FR</w:t>
      </w:r>
    </w:p>
    <w:p>
      <w:r>
        <w:rPr>
          <w:b/>
        </w:rPr>
        <w:t xml:space="preserve">Quelle: </w:t>
      </w:r>
      <w:r>
        <w:t>https://mcp.opencaselaw.ch/entscheid/ne_gerichte_ARMC.2019.91</w:t>
      </w:r>
    </w:p>
    <w:p>
      <w:r>
        <w:t>FR: NE_GERICHTE ARMC.2019.91 du 13 novembre 2019</w:t>
      </w:r>
    </w:p>
    <w:p>
      <w:r>
        <w:t>IT: NE_GERICHTE ARMC.2019.91 del 13 novembre 2019</w:t>
      </w:r>
    </w:p>
    <w:p>
      <w:pPr>
        <w:pStyle w:val="Heading2"/>
      </w:pPr>
      <w:r>
        <w:t>Erwägungen</w:t>
      </w:r>
    </w:p>
    <w:p>
      <w:r>
        <w:rPr>
          <w:b/>
        </w:rPr>
        <w:t>E. 5</w:t>
      </w:r>
    </w:p>
    <w:p>
      <w:r>
        <w:t>a) Reste à examiner la question d’un éventuel prélèvement sur un compte de l’intimée auprès de la Banque F.________, pour le montant des sûretés exigées. La recourante soutient qu’il serait possible, en se fondant sur l’article 100 al. 1 CPC, car elle serait l’ayant droit économique des fonds qui y sont déposés. b) L’article 100 al. 1 CPC prévoit que les sûretés peuvent être fournies en espèces ou sous forme de garantie d’une banque établie en Suisse ou d’une société d’assurance autorisée à exercer en Suisse. c) La recourante ne conteste pas qu’elle n’est pas titulaire du compte bancaire, à la Banque F.________, sur lequel les fonds devraient être prélevés. Cela résulte d’ailleurs de l’extrait de ce compte qu’elle a elle-même déposé, lequel mentionne bien : « Titulaire : Y.________ » , le nom de la recourante n’apparaissant nulle part. Comme l’a relevé le premier juge, l’ayant droit économique d’avoirs bancaires n’a aucun droit direct envers la banque dépositaire des fonds ( Bauen/Rouiller , Relations bancaires en Suisse, p. 173, n. 52, avec des références). La recourante ne soutient pas le contraire. Cela suffit pour qu’il soit exclu que le juge prélève des fonds sur le compte ou qu’il ordonne à la banque d’établir une garantie pour le montant correspondant aux sûretés. De toute manière, la qualité d’ayant droit économique de la recourante sur ces fonds est contestée par l’intimée, dont on peut déjà comprendre, au vu du dossier, qu’elle invoquera la compensation et donc son droit à disposer elle-même des avoirs bancaires en cause (même si elle n’a pas encore déposé sa réponse au fond dans le cadre du procès en cours). Il ne peut être question que le juge statue sur cette question dans le cadre de l’incident relatif à la demande de sûretés. Dans son mémoire de recours, la recourante ne présente d’ailleurs aucune argumentation juridique qui serait susceptible de soutenir sa thèse.</w:t>
      </w:r>
    </w:p>
    <w:p>
      <w:r>
        <w:rPr>
          <w:b/>
        </w:rPr>
        <w:t>E. 6</w:t>
      </w:r>
    </w:p>
    <w:p>
      <w:r>
        <w:t>Dans son mémoire de recours, la recourante ne formule pas de grief spécifique quant au montant des sûretés, fixé à 35'000 francs par le premier juge. A juste titre, car le montant déterminé en première instance ne prête pas le flanc à la critique : il entre dans le cadre défini par le tarif, lequel prévoit des honoraires jusqu’à 45'000 francs, frais et TVA non compris, pour la valeur litigieuse ici à retenir, soit entre 500'001 et 1'000'000 francs (art. 61 TFrais ), et il tient compte de manière adéquate de la complexité apparente de la cause, ainsi que de la durée prévisible du procès et des démarches qui devront être accomplies par le mandataire de la défenderesse. La recourante ne conteste pas non plus que le premier juge pouvait, dans la décision entreprise, statuer sur les frais judiciaires et dépens en relation avec les opérations relatives à la cautio judicatum solvi . Il convient d’en prendre acte.</w:t>
      </w:r>
    </w:p>
    <w:p>
      <w:r>
        <w:rPr>
          <w:b/>
        </w:rPr>
        <w:t>E. 7</w:t>
      </w:r>
    </w:p>
    <w:p>
      <w:r>
        <w:t>Il résulte de ce qui précède que le recours est mal fondé et doit être rejeté. Les frais judiciaires de la procédure de recours, arrêtés à 2’000 francs et avancés par la recourante, seront mis à la charge de cette dernière, qui versera en outre, pour la même procédure, une indemnité de dépens à l’intimée. Cette indemnité peut être fixée à 2'200 francs, sur la base du dossier, en l’absence de production par l’intimée d’un mémoire d’honoraires (art. 105 CPC et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