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ARMC.2018.98 vom 30. Januar 2019</w:t>
      </w:r>
    </w:p>
    <w:p>
      <w:r>
        <w:t>NE Tribunal cantonal, 2019-01-30, FR</w:t>
      </w:r>
    </w:p>
    <w:p>
      <w:r>
        <w:rPr>
          <w:b/>
        </w:rPr>
        <w:t xml:space="preserve">Quelle: </w:t>
      </w:r>
      <w:r>
        <w:t>https://mcp.opencaselaw.ch/entscheid/ne_gerichte_ARMC.2018.98</w:t>
      </w:r>
    </w:p>
    <w:p>
      <w:r>
        <w:t>FR: NE_GERICHTE ARMC.2018.98 du 30 janvier 2019</w:t>
      </w:r>
    </w:p>
    <w:p>
      <w:r>
        <w:t>IT: NE_GERICHTE ARMC.2018.98 del 30 gennaio 2019</w:t>
      </w:r>
    </w:p>
    <w:p>
      <w:pPr>
        <w:pStyle w:val="Heading2"/>
      </w:pPr>
      <w:r>
        <w:t>Erwägungen</w:t>
      </w:r>
    </w:p>
    <w:p>
      <w:r>
        <w:rPr>
          <w:b/>
        </w:rPr>
        <w:t>E. 1</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La décision entreprise est une décision en matière de mainlevée, contre laquelle l'appel n'est pas recevable (art. 309 let. b ch. 3 CPC). Déposé dans les formes et délai légaux, le recours est en soi recevable (art. 319-321 CPC). Irrecevable est cependant la conclusion tendant au renvoi de l’affaire au Service des contributions, dans la mesure où il n’appartient pas au juge de la mainlevée de donner des instructions aux créanciers poursuivants.</w:t>
      </w:r>
    </w:p>
    <w:p>
      <w:r>
        <w:rPr>
          <w:b/>
        </w:rPr>
        <w:t>E. 2</w:t>
      </w:r>
    </w:p>
    <w:p>
      <w:r>
        <w:t>Aux termes de l’article 322 al. 2 CPC , la réponse doit être déposée dans le même délai que le recours. Dans le cas d’espèce, le délai de réponse était de 10 jours, dès lors que les décisions rendues en matière de mainlevée d’opposition sont soumis à la procédure sommaire (art. 251 let. a et 321 al. 2 CPC). S’agissant d’un délai légal, il ne pouvait pas être prolongé, comme les intimés en ont été avisés . Il n’était pas suspendu pendant durant les vacances judiciaires (art. 145 al 2 let. b CPC). Le recours a été notifié à l’OREE le 19 décembre 2018. Le délai de réponse était échu le 2, respectivement 3 janvier 2019 (art. 142 al. 3 CPC). La réponse de l’OREE ayant été postée le 4 janvier 2018, elle est tardive et partant irrecevable. Il ne peut dès lors pas en être tenu compte.</w:t>
      </w:r>
    </w:p>
    <w:p>
      <w:r>
        <w:rPr>
          <w:b/>
        </w:rPr>
        <w:t>E. 3</w:t>
      </w:r>
    </w:p>
    <w:p>
      <w:r>
        <w:t>Selon l’article 326 CPC , les conclusions, les allégations et les preuves nouvelles sont irrecevables en procédure de recours. En outre, le droit de réplique spontané, déduit du droit d’être entendu (cf. ATF 142 III 48 et supra, let. a) ne permet pas d’introduire librement des nova ( ATF 144 III 117 cons. 2.2). Les pièces déposées à l’appui de la réplique sont nouvelles et il n’en sera dès lors pas tenu compte, pas plus que des faits allégués en relation avec ces pièces. Irrecevable est également le contenu de la lettre des recourants du 25 janvier 2019.</w:t>
      </w:r>
    </w:p>
    <w:p>
      <w:r>
        <w:rPr>
          <w:b/>
        </w:rPr>
        <w:t>E. 4</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L'ARMC n'a donc pas à substituer sa propre appréciation des faits à celle du premier juge, mais elle revoit par contre librement les questions de droit.</w:t>
      </w:r>
    </w:p>
    <w:p>
      <w:r>
        <w:rPr>
          <w:b/>
        </w:rPr>
        <w:t>E. 5</w:t>
      </w:r>
    </w:p>
    <w:p>
      <w:r>
        <w:t>a) Selon l'article 80 LP , le créancier qui est au bénéfice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07.10.2013 [5A_577/2013] cons. 4.1),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(arrêt du TF du 03.12.2018 [5A_650/2018] cons. 4.1.1 ; ATF 132 III 140 cons. 4.1.1). L’examen du juge portera également sur les trois identités : celle du poursuivi avec le débiteur mentionné dans le titre, celle du poursuivant avec le créancier et celle de la prétention selon la poursuite et le titre ( Schmidt , in : Commentaire romand de la LP, n. 12, 13 et 17 ad art. 84). c) Les décisions des autorités administratives suisses sont assimilées aux jugements exécutoires (art. 80 al. 2 ch. 2 LP ). Par décision de l'autorité administrative, on entend, de façon large, tout acte administratif imposant péremptoirement au contribuable le paiement d'une somme d'argent à la corporation publique ( Staehelin , in Basler Kommentar, Bundesgesetz über Schuldbetreibung und Konkurs, vol. I, 2 e éd. 2010, n. 120 ad art. 80 LP). Les décisions et prononcés de taxation rendus par les autorités fiscales en matière d'impôt fédéral direct ainsi que d'impôt cantonal et communal, qui sont entrés en force, produisent les mêmes effets qu'un jugement exécutoire (art. 165 al. 3 LIFD) (arrêt du TF du 17.10.2018 [5A_555/2018] cons. 3.3.2). d) En l’espèce, les recourants ne contestent pas que les décisions produites avec les requêtes de mainlevée constituent des titres exécutoires, assimilables à des jugements exécutoires, pour les montants réclamés. e) En procédure de mainlevée définitive, les moyens de défense du débiteur sont très limités, dans la mesure où il ne peut faire valoir que des exceptions de procédure relatives à l’instance de mainlevée elle-même ( Gilliéron , Poursuite pour dettes, faillite et concordat, 5 ème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En cas d’extinction partielle, le poursuivi doit établir par titre la cause de l’extinction partielle et le montant correspondant ( idem , no 764 et les réf. citées). Contrairement à ce qui vaut pour la mainlevée provisoire (art. 82 al. 2 LP), le poursuivi ne peut pas se borner à rendre sa libération vraisemblable ; il doit, au contraire, en rapporter la preuve stricte ( ATF 125 III 42 cons. 2b ; ATF 124 III 501 cons. 3a). f) En procédure de mainlevée provisoire, la question de savoir si le poursuivi a rendu vraisemblable son moyen libératoire ressortit à l'appréciation des preuves et relève donc du fait (arrêts du TF du 08.03.2018 [5A_833/2017] cons. 3, et du 13.10.2015 [5A_435/2015] cons. 3.2.1.3 ; ATF 130 III 21 cons. 5). La même chose vaut pour la preuve par titre du moyen libératoire, en mainlevée définitive. L’ARMC ne revoit dès lors cette question que sous l’angle de l’arbitraire. g) Les recourants font valoir que le tribunal civil aurait dû examiner si les conditions des articles 13 LIFD et 15 LCdir étaient remplies et conclure que tel était le cas, dès lors que l’insolvabilité du mari poursuivi avait été démontrée par l’extrait du registre des poursuites. En conséquence, on se trouverait bien en présence d’une dette partiellement éteinte. h) Les époux sont débiteurs en commun de l’impôt et solidairement responsables de l’intégralité de son paiement (art. 10 LCdir et 9 LIFD). Dès lors, le créancier peut s’en prendre à l’un comme à l’autre pour réclamer la totalité de la dette fiscale afférente à la période de vie commune. Les articles 15 al. 1 LCdir et 13 al. 1 LIFD prévoient toutefois que chaque époux répond du montant correspondant à sa part de l’impôt total lorsque l’un d’eux est insolvable. Le montant de la dette d’un époux peut donc être réduit à sa part d’impôt, sans qu’il y ait novation, dès que l’insolvabilité de son conjoint et l’extinction de la solidarité qui en découle est établie (arrêt du TAF du 15.11.2010 [A-7824] cons. 4.2.1.3 et les références citées). La solidarité peut prendre fin ex lege, notamment lorsque l’un des époux est insolvable (art. 13 al. 1, 2 ème phrase LIFD et 15 al. 1 LCdir).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 du TF du 23.10.2015 [2C_58/2015] cons. 5.2 et références citées).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 du TF du 01.12.2015 [2C_1098/2014] , cons. 5.3.1). i) Cela étant, il n’appartient pas au juge de la mainlevée de se prononcer sur la question de la solidarité des époux pour les dettes fiscales. Tant que les autorités fiscales n'ont pas rendu de décision de répartition de la part d'impôt due par l'époux, respectivement l'épouse (ci-après : décision de répartition),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 arrêt du TF du 17.10.2018 [5A_555/2018] cons. 3.3.2.2 ). j) En l’espèce, il ne ressort pas du dossier qu’une décision de répartition aurait été rendue. En outre, dès lors qu’il n’appartient pas au juge de la mainlevée de l’opposition d’analyser l’éventuelle insolvabilité de l’époux, l’extrait du registre des poursuites produit par les recourants ne leur est d’aucun secours. De toute manière, cet extrait ne prouve pas – preuve stricte – l’insolvabilité du mari, dans la mesure où il ne fait état d’aucun acte de défaut de biens, ni de l’ouverture d’une faillite, ni de la conclusion d’un concordat. On peut certes imaginer que la situation financière de l’époux n’est pas brillante, mais les éléments figurant au dossier permettent tout de même de constater qu’il doit disposer d’actifs d’une certaine valeur, dont il n’est pas exclu qu’ils suffisent à couvrir ses dettes. k) Les recourants ne font valoir aucune autre preuve libératoire de l’article 81 LP et ne contestent pas en eux-mêmes les montants réclamés en poursuites.</w:t>
      </w:r>
    </w:p>
    <w:p>
      <w:r>
        <w:rPr>
          <w:b/>
        </w:rPr>
        <w:t>E. 6</w:t>
      </w:r>
    </w:p>
    <w:p>
      <w:r>
        <w:t>Il résulte de ce qui précède que le recours doit être rejeté, dans la mesure de sa recevabilité. Les frais judiciaires de la procédure de recours, arrêtés à 750 francs, seront mis solidairement à la charge des recourants (art. 106 al. 1 et 3 CPC). Il n’y a pas lieu à octroi de dépens aux intimés, faute de conclusions recevables en ce sens (irrecevabilité de la réponse au recours). Les conditions posées par l’article 95 al. 3 CPC ne seraient de toute façon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