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ARMC.2018.85 vom 6. Dezember 2018</w:t>
      </w:r>
    </w:p>
    <w:p>
      <w:r>
        <w:t>NE Tribunal cantonal, 2018-12-06, FR</w:t>
      </w:r>
    </w:p>
    <w:p>
      <w:r>
        <w:rPr>
          <w:b/>
        </w:rPr>
        <w:t xml:space="preserve">Quelle: </w:t>
      </w:r>
      <w:r>
        <w:t>https://mcp.opencaselaw.ch/entscheid/ne_gerichte_ARMC.2018.85</w:t>
      </w:r>
    </w:p>
    <w:p>
      <w:r>
        <w:t>FR: NE_GERICHTE ARMC.2018.85 du 6 décembre 2018</w:t>
      </w:r>
    </w:p>
    <w:p>
      <w:r>
        <w:t>IT: NE_GERICHTE ARMC.2018.85 del 6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juillet 2017 (poursuite no [1]), 23'309 francs, plus intérêts à</w:t>
      </w:r>
    </w:p>
    <w:p>
      <w:r>
        <w:rPr>
          <w:b/>
        </w:rPr>
        <w:t>E. 5</w:t>
      </w:r>
    </w:p>
    <w:p>
      <w:r>
        <w:t>Il résulte de ce qui précède que la mainlevée devait être prononcée à concurrence des montants retenus par le tribunal civil. Le recours doit dès lors être rejeté, par substitution de motifs. Les frais judiciaires de la procédure de recours seront mis à la charge de la recourante, qui versera en outre une indemnité de dépens à l'intimée pour la procédure de recours. S’agissant des dépens dus à l’intimée, ils seront fixés dans le cadre des tarifs et sur la base du dossier, l’intimée n’ayant pas déposé d’état d’honoraires et frais (art. 105 al. 2 CPC, 60 ss, spécialement 66 TFrais ). L’indemnité se montera à 1’200 francs, au vu du recours et des observations déposées par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