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ARMC.2018.52 vom 7. September 2018</w:t>
      </w:r>
    </w:p>
    <w:p>
      <w:r>
        <w:t>NE Tribunal cantonal, 2018-09-07, FR</w:t>
      </w:r>
    </w:p>
    <w:p>
      <w:r>
        <w:rPr>
          <w:b/>
        </w:rPr>
        <w:t xml:space="preserve">Quelle: </w:t>
      </w:r>
      <w:r>
        <w:t>https://mcp.opencaselaw.ch/entscheid/ne_gerichte_ARMC.2018.52</w:t>
      </w:r>
    </w:p>
    <w:p>
      <w:r>
        <w:t>FR: NE_GERICHTE ARMC.2018.52 du 7 septembre 2018</w:t>
      </w:r>
    </w:p>
    <w:p>
      <w:r>
        <w:t>IT: NE_GERICHTE ARMC.2018.52 del 7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 et Y</w:t>
      </w:r>
    </w:p>
    <w:p>
      <w:r>
        <w:rPr>
          <w:b/>
        </w:rPr>
        <w:t>E. 2</w:t>
      </w:r>
    </w:p>
    <w:p>
      <w:r>
        <w:t>________, X</w:t>
      </w:r>
    </w:p>
    <w:p>
      <w:r>
        <w:rPr>
          <w:b/>
        </w:rPr>
        <w:t>E. 3</w:t>
      </w:r>
    </w:p>
    <w:p>
      <w:r>
        <w:t>________ et X</w:t>
      </w:r>
    </w:p>
    <w:p>
      <w:r>
        <w:rPr>
          <w:b/>
        </w:rPr>
        <w:t>E. 4</w:t>
      </w:r>
    </w:p>
    <w:p>
      <w:r>
        <w:t>A première vue, le mémoire de recours pourrait remplir les conditions formelles et matérielles de recevabilité d’un appel. Il sera dès lors transmis à la Cour d’appel civile, à qui il appartiendra notamment de statuer sur une éventuelle conversion du recours en appel (cf. ATF du 04.06.2018 [5A_221/2018] cons. 3.3).</w:t>
      </w:r>
    </w:p>
    <w:p>
      <w:r>
        <w:rPr>
          <w:b/>
        </w:rPr>
        <w:t>E. 5</w:t>
      </w:r>
    </w:p>
    <w:p>
      <w:r>
        <w:t>Il n’est pas perçu de frais, la procédure étant gratuite lorsqu’elle porte sur les baux d’habitation (art. 53 TFrais). Par ailleurs, il n'y a pas lieu d'allouer des dépens aux intimés, qui ont agi sans le concours d’un mandataire et n'allèguent pas avoir engagé des frais particuliers (art. 95 al. 3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