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ARMC.2018.24 vom 4. Mai 2018</w:t>
      </w:r>
    </w:p>
    <w:p>
      <w:r>
        <w:t>NE Tribunal cantonal, 2018-05-04, FR</w:t>
      </w:r>
    </w:p>
    <w:p>
      <w:r>
        <w:rPr>
          <w:b/>
        </w:rPr>
        <w:t xml:space="preserve">Quelle: </w:t>
      </w:r>
      <w:r>
        <w:t>https://mcp.opencaselaw.ch/entscheid/ne_gerichte_ARMC.2018.24</w:t>
      </w:r>
    </w:p>
    <w:p>
      <w:r>
        <w:t>FR: NE_GERICHTE ARMC.2018.24 du 4 mai 2018</w:t>
      </w:r>
    </w:p>
    <w:p>
      <w:r>
        <w:t>IT: NE_GERICHTE ARMC.2018.24 del 4 maggio 2018</w:t>
      </w:r>
    </w:p>
    <w:p>
      <w:pPr>
        <w:pStyle w:val="Heading2"/>
      </w:pPr>
      <w:r>
        <w:t>Erwägungen</w:t>
      </w:r>
    </w:p>
    <w:p>
      <w:r>
        <w:rPr>
          <w:b/>
        </w:rPr>
        <w:t>E. 1</w:t>
      </w:r>
    </w:p>
    <w:p>
      <w:r>
        <w:t>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rPr>
          <w:b/>
        </w:rPr>
        <w:t>E. 2</w:t>
      </w:r>
    </w:p>
    <w:p>
      <w:r>
        <w:t>L’ordonnance entreprise est une décision fixant une indemnité d’avocat d’office, qui peut être attaquée séparément par un recours, au sens de l’art. 110 CPC, la partie assistée et le conseil juridique disposant d’un droit de recours au sujet de la rémunération accordée ( Tappy , in : CPC commenté, n. 21 et 22 ad art. 122). Le recours est donc dirigé contre une décision susceptible de recours, par une personne ayant qualité pour recourir. Il a été déposé par un écrit motivé et dans le délai légal (art. 321 al. 1 et 2 CPC). Il est donc recevable à cet égard.</w:t>
      </w:r>
    </w:p>
    <w:p>
      <w:r>
        <w:rPr>
          <w:b/>
        </w:rPr>
        <w:t>E. 3</w:t>
      </w:r>
    </w:p>
    <w:p>
      <w:r>
        <w:t>a) Le conseil d’office a droit à une indemnité équitable, versée par le canton, quand la partie qu’il représente succombe ou, en cas de gain du procès, si les dépens ne peuvent être obtenus de la partie adverse ou ne le seront vraisemblablement pas (art. 122 CPC ). b) Selon la jurisprudence (arrêt du TF du 30.01.2017 [5D_149/2016] 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 c) Dans le canton de Neuchâtel, la rémunération du conseil d’office est calculée à 180 francs de l’heure, TVA non comprise, ou 110 francs de l’heure si le mandat est assumé par un avocat-stagiaire (art. 55 al. 1 et 2 TFrais , RSN 164.1). Les frais de ports, de copies et de téléphones sont indemnisés selon les frais effectifs ou forfaitairement à raison de 10% de la rémunération (art. 57 TFrais ). La TVA est ensuite ajoutée, le cas échéant. d) 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CPC commenté,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(idem et arrêt du TF du 25.07.2017 [5A_461/2017] cons. 2.1). L'Autorité de recours en matière civile (ci-après : ARMC) n'a donc pas à substituer sa propre appréciation des faits à celle du premier juge, mais elle revoit par contre librement les questions de droit. e) Plus spécifiquement, en matière d’assistance judiciaire, la jurisprudence fédérale (arrêt du TF du 30.01.2017 [5D_149/2016] cons. 3.1) retient que le juge dispose d'un large pouvoir d'appréciation dans la fixation de l'indemnité du défenseur d'office. L’autorité supérieure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L’autorité supérieure doit faire preuve de réserve lorsque l'autorité inférieure estime exagérés le temps ou les opérations déclarés par l'avocat d'office, car il lui appartient de juger de l'adéquation entre les activités déployées par ce dernier et celles qui sont justifiées par l'accomplissement de sa tâche. Enfin, il ne suffit pas que l'autorité inférieure ait apprécié de manière erronée un poste de l'état de frais ou qu'elle se soit fondée sur un argument déraisonnable ; encore faut-il que le montant global alloué à titre d'indemnité se révèle arbitraire. f) La détermination du nombre d’heures nécessaire à l’accomplissement du mandat relève du fait, que l’ARMC ne revoit dès lors qu’en cas de constatation manifestement inexacte, soit d’arbitraire au sens rappelé ci-dessus (art. 320 let. b CPC ; cf. notamment les arrêts de l’ARMC du 13.11.2017 [ARMC.2017.75] cons. 2e et du 02.12.2016 [ARMC.2016.71] cons. 5b).</w:t>
      </w:r>
    </w:p>
    <w:p>
      <w:r>
        <w:rPr>
          <w:b/>
        </w:rPr>
        <w:t>E. 4</w:t>
      </w:r>
    </w:p>
    <w:p>
      <w:r>
        <w:t>a) En l’espèce, la recourante a droit, sur le principe, à une indemnité à la charge du canton pour l’ensemble de la procédure en cause. b) La motivation du recours est pour l’essentiel appellatoire. Elle ne démontre pas en quoi le raisonnement du premier juge serait non seulement erroné, mais aussi arbitraire, au sens de la jurisprudence rappelée plus haut. Sur les chiffres à retenir pour l’activité déployée, pour les différents postes litigieux, la recourante se contente d’opposer son interprétation des faits à celle du tribunal civil. Elle n’expose pas non plus pourquoi l’ordonnance entreprise serait arbitraire dans son résultat, soit en quoi l’indemnité globale de 5'060.90 francs qui lui a été accordée serait manifestement incompatible avec les principes régissant la fixation de l’indemnité d’avocat d’office, dans une cause comme celle dont il est ici question. Les griefs de la recourante sont dès lors irrecevables. On peut noter que la différence entre l’indemnité accordée, soit 5'060.90 francs, et celle réclamée par la recourante, soit 6'504.25 francs, n’est au surplus de toute façon pas telle que le grief d’arbitraire pourrait être justifié. Cela étant, l’ARMC constate que, même si elle était examinée plus largement, l’indemnité fixée ne prêterait pas le flanc à la critique. La procédure de mesures protectrices de l’union conjugale dont il est question ne présentait pas de difficultés sur le plan juridique. Il n’a sans doute pas été simple de déterminer le lieu de domicile du requis, ainsi que d’obtenir des éléments concernant ses revenus, mais la recourante indique que c’est sa cliente qui s’est chargée des démarches à ce sujet, elle-même transmettant ensuite au tribunal civil les pièces reçues de la requérante. Le requis a fait défaut à deux audiences, puis s’est fait représenter à la troisième ; il n’a pas déposé de courriers qui auraient nécessité une étude compliquée. A la troisième audience, un accord a été trouvé assez facilement avec le mandataire du requis, l’audience à ce sujet ayant duré 1h30. Le requis a certes refusé de ratifier l’accord passé à cette audience, mais l’essentiel du travail était fait. Dans ces conditions, retenir 23h40 d’activité indemnisable n’avait rien d’arbitraire. Il est notamment possible que la recourante ait passé beaucoup de temps à correspondre avec sa cliente et à avoir des entretiens avec la même, mais l’activité comptée à ce sujet – 13h20 – ne peut pas être retenue entièrement, dans une procédure de ce genre où il s’agissait en bonne partie de déterminer la capacité financière du requis, ce qui ne nécessitait pas de longues discussions ; que la recourante ait jugé approprié de passer du temps avec sa cliente est sans doute méritoire, mais l’assistance judiciaire ne peut pas couvrir l’entier des frais en résultant. Les requêtes de mesures provisionnelles portaient sur des questions clairement circonscrites et leur rédaction ne pouvait pas nécessiter un investissement considérable. Le temps de rédaction compté par le premier juge est raisonnable. Que le tribunal civil ait retranché à tort ou non l’un ou l’autre poste ne peut rien changer au fait que, globalement, l’indemnité accordée est appropriée et se situe même plutôt à la limite supérieure de ce qui est encore admissible dans une procédure de ce genre.</w:t>
      </w:r>
    </w:p>
    <w:p>
      <w:r>
        <w:rPr>
          <w:b/>
        </w:rPr>
        <w:t>E. 5</w:t>
      </w:r>
    </w:p>
    <w:p>
      <w:r>
        <w:t>Il résulte de ce qui précède que le recours est mal fondé, dans la mesure de sa recevabilité. En matière d’assistance judiciaire, seule la procédure de requête tombe sous le coup de l'article 119 al. 6 CPC et est ainsi en principe gratuite, au contraire de la procédure de recours ( ATF 137 III 470 cons. 6). Les frais judiciaires de la procédure de recours seront dès lors mis à la charge de la recourante.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