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ARMC.2018.103 vom 30. Januar 2019</w:t>
      </w:r>
    </w:p>
    <w:p>
      <w:r>
        <w:t>NE Tribunal cantonal, 2019-01-30, FR</w:t>
      </w:r>
    </w:p>
    <w:p>
      <w:r>
        <w:rPr>
          <w:b/>
        </w:rPr>
        <w:t xml:space="preserve">Quelle: </w:t>
      </w:r>
      <w:r>
        <w:t>https://mcp.opencaselaw.ch/entscheid/ne_gerichte_ARMC.2018.103</w:t>
      </w:r>
    </w:p>
    <w:p>
      <w:r>
        <w:t>FR: NE_GERICHTE ARMC.2018.103 du 30 janvier 2019</w:t>
      </w:r>
    </w:p>
    <w:p>
      <w:r>
        <w:t>IT: NE_GERICHTE ARMC.2018.103 del 30 gennaio 2019</w:t>
      </w:r>
    </w:p>
    <w:p>
      <w:pPr>
        <w:pStyle w:val="Heading2"/>
      </w:pPr>
      <w:r>
        <w:t>Erwägungen</w:t>
      </w:r>
    </w:p>
    <w:p>
      <w:r>
        <w:rPr>
          <w:b/>
        </w:rPr>
        <w:t>E. 10</w:t>
      </w:r>
    </w:p>
    <w:p>
      <w:r>
        <w:t>% des honoraires, pour les débours et quil aurait donc fallu retenir 227.10 francs pour ce poste. Elle oublie quelle a elle-même mentionné les 117.20 francs pour ses frais, sans réserve ou précision, et peut donc difficilement fonder un grief quelconque sur le fait que la première juge a retenu le montant allégué pour les frais effectifs, comme larticle 57TFraislui permettait de le faire.</w:t>
      </w:r>
    </w:p>
    <w:p>
      <w:r>
        <w:t>p) - Globalement, le tribunal civil a considéré que lactivité déployée par la recourante et son collaborateur était« manifestement disproportionnée », compte tenu en particulier du fait que la maxime inquisitoire illimitée sappliquait dans une très large mesure et quune convention complète avait pu être passée entre les parties, avec laide du tribunal, lors de la première et unique audience. Il a retranché 26h59 des 39h36 facturées, retenant une activité justifiée de 12h37, soit une indemnité 2'271 francs à un taux horaire de 180 francs, plus 117.20 francs de frais et 183.90 francs de TVA.</w:t>
      </w:r>
    </w:p>
    <w:p>
      <w:r>
        <w:t>- La recourante soutient que la décision entreprise nest pas quarbitraire dans sa motivation, mais aussi dans son résultat. La nature de la cause justifiait un travail important. Lintégrité corporelle de la cliente était en danger. Ses moyens de subsistance étaient tellement réduits que le premier enjeu du dossier était dobtenir de largent pour lui permettre de manger. Une petite fille était concernée. La cause était ainsi importante. Lentente entre les parties était difficile, ce qui rendait la cause particulièrement complexe. La garde, le droit de visite et les pensions étaient conflictuels. La qualité du travail de lavocat nest pas remise en cause.</w:t>
      </w:r>
    </w:p>
    <w:p>
      <w:r>
        <w:t>- On ne peut que donner raison au tribunal civil. Aucun justiciable raisonnable ninvestirait près de 8'000 francs  au tarif de lassistance judiciaire, soit plus de 10'000 francs au tarif usuel des avocats - dans une procédure de mesures protectrices telle quelle sest déroulée, avec une requête relativement simple, une contre-requête qui nétait pas plus complexe et un arrangement global à la première et unique audience. En tout cas, il nappartient pas à la collectivité dassumer plus que les frais nécessaires à une défense efficace, mais raisonnable de la partie assistée. Lindemnité accordée en première instance ne sécarte pas arbitrairement de celle que lon pourrait envisager en comptant lune ou lautre heure de plus pour la rédaction de la requête, ainsi que quelques minutes en plus pour des correspondances à la personne assistée. Dès lors et quoi que lon puisse penser de la manière dont le tribunal civil est arrivé au résultat, soit à une indemnité à 2'572.10 francs, frais et TVA compris, ce résultat nest pas choquant ni insoutenable en fonction des circonstances du cas despèce, dans une procédure qui a été simple, courte et a abouti à un arrangement rapide et complet.</w:t>
      </w:r>
    </w:p>
    <w:p>
      <w:r>
        <w:t>3.Il résulte de ce qui précède que le recours est mal fondé et doit être rejeté. En matière dassistance judiciaire, seule la procédure de requête tombe sous le coup de l'article 119 al. 6 CPC et est ainsi en principe gratuite, au contraire de la procédure de recours (ATF 137 III 470cons. 6). La recourante assumera donc les frais de la procédure de recours. Il ny a pas lieu à allocation de dépens.</w:t>
      </w:r>
    </w:p>
    <w:p>
      <w:r>
        <w:t>Par ces motifs,L'AUTORITé DE RECOURS EN MATIERE CIVILE</w:t>
      </w:r>
    </w:p>
    <w:p>
      <w:r>
        <w:t>1.Rejette le recours.</w:t>
      </w:r>
    </w:p>
    <w:p>
      <w:r>
        <w:t>2.Arrête les frais judiciaires de la procédure de recours à 700 francs et les met à la charge de la recourante, qui les a avancés.</w:t>
      </w:r>
    </w:p>
    <w:p>
      <w:r>
        <w:t>3.Dit quil ny a pas lieu à octroi de dépens.</w:t>
      </w:r>
    </w:p>
    <w:p>
      <w:r>
        <w:t>Neuchâtel, le 30 janvier 2019</w:t>
      </w:r>
    </w:p>
    <w:p>
      <w:r>
        <w:t>1Lorsque la partie au bénéfice de l'assistance judiciaire succombe, les frais sont liquidés comme suit:</w:t>
      </w:r>
    </w:p>
    <w:p>
      <w:r>
        <w:t>a. le conseil juridique commis d'office est rémunéré équitablement par le canton;</w:t>
      </w:r>
    </w:p>
    <w:p>
      <w:r>
        <w:t>b. les frais judiciaires sont à la charge du canton;</w:t>
      </w:r>
    </w:p>
    <w:p>
      <w:r>
        <w:t>c. les avances que la partie adverse a fournies lui sont restituées;</w:t>
      </w:r>
    </w:p>
    <w:p>
      <w:r>
        <w:t>d. 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