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ARMC.2017.28 vom 10. Juli 2017</w:t>
      </w:r>
    </w:p>
    <w:p>
      <w:r>
        <w:t>NE Tribunal cantonal, 2017-07-10, FR</w:t>
      </w:r>
    </w:p>
    <w:p>
      <w:r>
        <w:rPr>
          <w:b/>
        </w:rPr>
        <w:t xml:space="preserve">Quelle: </w:t>
      </w:r>
      <w:r>
        <w:t>https://mcp.opencaselaw.ch/entscheid/ne_gerichte_ARMC.2017.28</w:t>
      </w:r>
    </w:p>
    <w:p>
      <w:r>
        <w:t>FR: NE_GERICHTE ARMC.2017.28 du 10 juillet 2017</w:t>
      </w:r>
    </w:p>
    <w:p>
      <w:r>
        <w:t>IT: NE_GERICHTE ARMC.2017.28 del 10 luglio 2017</w:t>
      </w:r>
    </w:p>
    <w:p>
      <w:pPr>
        <w:pStyle w:val="Heading2"/>
      </w:pPr>
      <w:r>
        <w:t>Erwägungen</w:t>
      </w:r>
    </w:p>
    <w:p>
      <w:r>
        <w:rPr>
          <w:b/>
        </w:rPr>
        <w:t>E. 1</w:t>
      </w:r>
    </w:p>
    <w:p>
      <w:r>
        <w:t>Interjeté dans les formes et délai légaux, le recours est recevable (art. 319 à 321 CPC).</w:t>
      </w:r>
    </w:p>
    <w:p>
      <w:r>
        <w:rPr>
          <w:b/>
        </w:rPr>
        <w:t>E. 2</w:t>
      </w:r>
    </w:p>
    <w:p>
      <w:r>
        <w:t>Dans le cadre du recours des articles 319 ss CPC, la juridiction de deuxième instance ne revoit les faits que sous l'angle de l'arbitraire (art. 320 let. b CPC; cf. Jeandin , in : CPC commenté, n. 5 ad art. 320, avec les références). L'Autorité de recours en matière civile (ARMC) n'a donc pas à substituer sa propre appréciation des faits à celle du premier juge. Elle n'intervient que si ce dernier s'est prononcé de façon arbitraire, en admettant un fait dénué de toute preuve ou en rejetant un fait indubitablement établi (cf. notamment arrêt non publié de l’ARMC du 28.11.2016 [ARMC.2016.86] cons. 2). Il ne suffit pas qu'une autre solution paraisse concevable, voire préférable ( ATF 129 I 8 cons. 2.1 ; ATF 126 III 438 cons. 3). Le pouvoir d'examen se recoupe donc avec celui du Tribunal fédéral appelé à statuer sur un recours en matière civile ( Jeandin , op. cit., n. 6 ad art. 320 CPC), de sorte que l 'ARMC n'annule la décision attaquée que lorsque celle-ci constate les faits de manière manifestement insoutenable ou qu'elle se trouve en contradiction claire avec la situation de fait ( ATF 127 I 54 cons. 2b, 127 I 60 cons. 5a, 126 I 168 cons. 3a, 125 I 166 cons. 2a). L'ARMC revoit par contre librement les questions de droit.</w:t>
      </w:r>
    </w:p>
    <w:p>
      <w:r>
        <w:rPr>
          <w:b/>
        </w:rPr>
        <w:t>E. 3</w:t>
      </w:r>
    </w:p>
    <w:p>
      <w:r>
        <w:t>Selon l’article 326 CPC, les conclusions, les allégations de faits et les preuves nouvelles sont irrecevables en procédure de recours. Les pièces nouvelles déposées par le recourant et les allégués nouveaux correspondants ne peuvent donc pas être pris en considération.</w:t>
      </w:r>
    </w:p>
    <w:p>
      <w:r>
        <w:rPr>
          <w:b/>
        </w:rPr>
        <w:t>E. 4</w:t>
      </w:r>
    </w:p>
    <w:p>
      <w:r>
        <w:t>Quand elle admet un recours, l'ARMC peut renvoyer la cause à l'instance précédente ou rendre une nouvelle décision si la cause est en état d'être jugée (art. 327 al. 3 CPC). La cause n'est ici pas en état d'être jugée. Le recourant a certes, dans son recours, présenté des arguments sur la question de la répartition des frais et dépens, mais l’ARMC ne pourrait en tenir compte que de manière très limitée (art. 326 CPC). Il se justifie dès lors de renvoyer la cause au tribunal civil, afin que celui-ci rende une nouvelle décision sur les frais et dépens, ceci après avoir donné aux parties, de manière adéquate, la possibilité de se déterminer sur cette question. Cela paraît d’autant plus se justifier que la décision entreprise a été rendue sur la base d’un état de fait erroné.</w:t>
      </w:r>
    </w:p>
    <w:p>
      <w:r>
        <w:rPr>
          <w:b/>
        </w:rPr>
        <w:t>E. 5</w:t>
      </w:r>
    </w:p>
    <w:p>
      <w:r>
        <w:t>Les frais judiciaires de la procédure de recours seront mis à la charge de l’intimé, qui succombe dans ses conclusions tendant au rejet du recours (art. 106 al. 1 CPC). Il n’y a par contre pas lieu à allocation de dépens : le recourant a procédé sans l’assistance d’un mandataire et ne fait pas valoir de débours (art. 95 al. 3 let. a et b CPC) ; les circonstances ne justifient en outre pas qu’une indemnité lui soit allouée pour ses démarches (art. 95 al. 3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