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ARMC.2016.27 vom 28. Juli 2016</w:t>
      </w:r>
    </w:p>
    <w:p>
      <w:r>
        <w:t>NE Tribunal cantonal, 2016-07-28, FR</w:t>
      </w:r>
    </w:p>
    <w:p>
      <w:r>
        <w:rPr>
          <w:b/>
        </w:rPr>
        <w:t xml:space="preserve">Quelle: </w:t>
      </w:r>
      <w:r>
        <w:t>https://mcp.opencaselaw.ch/entscheid/ne_gerichte_ARMC.2016.27</w:t>
      </w:r>
    </w:p>
    <w:p>
      <w:r>
        <w:t>FR: NE_GERICHTE ARMC.2016.27 du 28 juillet 2016</w:t>
      </w:r>
    </w:p>
    <w:p>
      <w:r>
        <w:t>IT: NE_GERICHTE ARMC.2016.27 del 28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dette, intérêts et frais compris, a été payée;</w:t>
      </w:r>
    </w:p>
    <w:p>
      <w:r>
        <w:rPr>
          <w:b/>
        </w:rPr>
        <w:t>E. 2</w:t>
      </w:r>
    </w:p>
    <w:p>
      <w:r>
        <w:t>la totalité du montant à rembourser a été déposée auprès de l'autorité judiciaire supérieure à l'intention du créancier;</w:t>
      </w:r>
    </w:p>
    <w:p>
      <w:r>
        <w:rPr>
          <w:b/>
        </w:rPr>
        <w:t>E. 3</w:t>
      </w:r>
    </w:p>
    <w:p>
      <w:r>
        <w:t>le créancier a retiré sa réquisition de faillite.</w:t>
      </w:r>
    </w:p>
    <w:p>
      <w:r>
        <w:t>3Si l'autorité de recours accorde l'effet suspensif, elle ordonne simultanément les mesures provisionnelles propres à préserver les intérêts des créanciers.</w:t>
      </w:r>
    </w:p>
    <w:p>
      <w:r>
        <w:t>1Nouvelle teneur selon le ch. I de la LF du 21 juin 2013, en vigueur depuis le 1erjanv. 2014 (RO20134111;FF20105871).2RS272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