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ARMC.2014.48 vom 3. September 2014</w:t>
      </w:r>
    </w:p>
    <w:p>
      <w:r>
        <w:t>NE Tribunal cantonal, 2014-09-03, FR</w:t>
      </w:r>
    </w:p>
    <w:p>
      <w:r>
        <w:rPr>
          <w:b/>
        </w:rPr>
        <w:t xml:space="preserve">Quelle: </w:t>
      </w:r>
      <w:r>
        <w:t>https://mcp.opencaselaw.ch/entscheid/ne_gerichte_ARMC.2014.48</w:t>
      </w:r>
    </w:p>
    <w:p>
      <w:r>
        <w:t>FR: NE_GERICHTE ARMC.2014.48 du 3 septembre 2014</w:t>
      </w:r>
    </w:p>
    <w:p>
      <w:r>
        <w:t>IT: NE_GERICHTE ARMC.2014.48 del 3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la décision attaquée et renvoie l'affaire au tribunal de première instance pour nouvelle décision au sens des considérants.</w:t>
      </w:r>
    </w:p>
    <w:p>
      <w:r>
        <w:rPr>
          <w:b/>
        </w:rPr>
        <w:t>E. 2</w:t>
      </w:r>
    </w:p>
    <w:p>
      <w:r>
        <w:t>Laisse les frais à la charge de l'Etat.</w:t>
      </w:r>
    </w:p>
    <w:p>
      <w:r>
        <w:rPr>
          <w:b/>
        </w:rPr>
        <w:t>E. 3</w:t>
      </w:r>
    </w:p>
    <w:p>
      <w:r>
        <w:t>La décision ou l'ordonnance attaquée doit être jointe au dossier, pour autant qu'elle soit en mains du recourant.</w:t>
      </w:r>
    </w:p>
    <w:p>
      <w:r>
        <w:rPr>
          <w:b/>
        </w:rPr>
        <w:t>E. 4</w:t>
      </w:r>
    </w:p>
    <w:p>
      <w:r>
        <w:t>Le recours pour retard injustifié peut être formé en tout temps.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